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289F60" w14:textId="0332B7D5" w:rsidR="00B46E62" w:rsidRPr="00F6302A" w:rsidRDefault="00B46E62" w:rsidP="00B46E62">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sidR="00960F7D">
        <w:rPr>
          <w:lang w:val="en-US"/>
        </w:rPr>
        <w:t xml:space="preserve">Meeting </w:t>
      </w:r>
      <w:r w:rsidR="00A558EB">
        <w:rPr>
          <w:lang w:val="en-US"/>
        </w:rPr>
        <w:t>NR</w:t>
      </w:r>
      <w:r w:rsidR="00960F7D">
        <w:rPr>
          <w:lang w:val="en-US"/>
        </w:rPr>
        <w:t>#</w:t>
      </w:r>
      <w:r w:rsidR="00A558EB">
        <w:rPr>
          <w:lang w:val="en-US"/>
        </w:rPr>
        <w:t>3</w:t>
      </w:r>
      <w:r w:rsidRPr="00F6302A">
        <w:rPr>
          <w:lang w:val="en-US"/>
        </w:rPr>
        <w:tab/>
      </w:r>
      <w:r>
        <w:rPr>
          <w:sz w:val="32"/>
          <w:szCs w:val="32"/>
          <w:lang w:val="en-US"/>
        </w:rPr>
        <w:t>R4</w:t>
      </w:r>
      <w:r w:rsidRPr="00F6302A">
        <w:rPr>
          <w:sz w:val="32"/>
          <w:szCs w:val="32"/>
          <w:lang w:val="en-US"/>
        </w:rPr>
        <w:t>-</w:t>
      </w:r>
      <w:r w:rsidR="005727DB">
        <w:rPr>
          <w:sz w:val="32"/>
          <w:szCs w:val="32"/>
          <w:lang w:val="en-US"/>
        </w:rPr>
        <w:t>170</w:t>
      </w:r>
      <w:r w:rsidR="005727DB">
        <w:rPr>
          <w:sz w:val="32"/>
          <w:szCs w:val="32"/>
          <w:lang w:val="en-US"/>
        </w:rPr>
        <w:t>9845</w:t>
      </w:r>
      <w:bookmarkStart w:id="0" w:name="_GoBack"/>
      <w:bookmarkEnd w:id="0"/>
    </w:p>
    <w:p w14:paraId="1F770C4E" w14:textId="62BC651D" w:rsidR="00B46E62" w:rsidRPr="00F6302A" w:rsidRDefault="00A558EB" w:rsidP="00B46E62">
      <w:pPr>
        <w:pStyle w:val="3GPPHeader"/>
        <w:rPr>
          <w:lang w:val="en-US"/>
        </w:rPr>
      </w:pPr>
      <w:r>
        <w:rPr>
          <w:lang w:val="en-US"/>
        </w:rPr>
        <w:t>Nagoya, Japan, 18</w:t>
      </w:r>
      <w:r w:rsidRPr="00160DB7">
        <w:rPr>
          <w:vertAlign w:val="superscript"/>
          <w:lang w:val="en-US"/>
        </w:rPr>
        <w:t>th</w:t>
      </w:r>
      <w:r>
        <w:rPr>
          <w:lang w:val="en-US"/>
        </w:rPr>
        <w:t>-</w:t>
      </w:r>
      <w:r w:rsidR="00F51B32">
        <w:rPr>
          <w:lang w:val="en-US"/>
        </w:rPr>
        <w:t>21</w:t>
      </w:r>
      <w:r w:rsidR="003E46A9" w:rsidRPr="00FC677A">
        <w:rPr>
          <w:vertAlign w:val="superscript"/>
          <w:lang w:val="en-US"/>
        </w:rPr>
        <w:t>st</w:t>
      </w:r>
      <w:r w:rsidR="003E46A9">
        <w:rPr>
          <w:lang w:val="en-US"/>
        </w:rPr>
        <w:t xml:space="preserve"> </w:t>
      </w:r>
      <w:r>
        <w:rPr>
          <w:lang w:val="en-US"/>
        </w:rPr>
        <w:t>September</w:t>
      </w:r>
      <w:r w:rsidR="00960F7D" w:rsidRPr="00960F7D">
        <w:rPr>
          <w:lang w:val="en-US"/>
        </w:rPr>
        <w:t xml:space="preserve"> 2017</w:t>
      </w:r>
    </w:p>
    <w:p w14:paraId="351FCB6D" w14:textId="77777777"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1FCBEC31" w14:textId="321DD916"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92C56">
        <w:rPr>
          <w:sz w:val="22"/>
          <w:szCs w:val="22"/>
          <w:lang w:val="en-US"/>
        </w:rPr>
        <w:t>BS ACLR measurement BW for sub6GHz</w:t>
      </w:r>
      <w:r w:rsidR="004B470C">
        <w:rPr>
          <w:sz w:val="22"/>
          <w:szCs w:val="22"/>
          <w:lang w:val="en-US"/>
        </w:rPr>
        <w:t xml:space="preserve"> </w:t>
      </w:r>
    </w:p>
    <w:p w14:paraId="6D30D43D" w14:textId="6460BB28"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CA6CFE" w:rsidRPr="00CA6CFE">
        <w:rPr>
          <w:sz w:val="22"/>
          <w:szCs w:val="22"/>
          <w:lang w:val="en-US"/>
        </w:rPr>
        <w:t>3.4.3.3.2</w:t>
      </w:r>
    </w:p>
    <w:p w14:paraId="054B0A18" w14:textId="77777777"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14:paraId="2ACEFDC8" w14:textId="77777777" w:rsidR="00E90E49" w:rsidRDefault="00E90E49" w:rsidP="00E90E49">
      <w:pPr>
        <w:pStyle w:val="Heading1"/>
        <w:rPr>
          <w:lang w:val="en-US"/>
        </w:rPr>
      </w:pPr>
      <w:r w:rsidRPr="00F6302A">
        <w:rPr>
          <w:lang w:val="en-US"/>
        </w:rPr>
        <w:t>Introduction</w:t>
      </w:r>
    </w:p>
    <w:p w14:paraId="5B75E4C5" w14:textId="24EF2BEA" w:rsidR="00F07840" w:rsidRDefault="00F07840" w:rsidP="00854669">
      <w:pPr>
        <w:rPr>
          <w:sz w:val="22"/>
          <w:szCs w:val="22"/>
          <w:lang w:val="en-US"/>
        </w:rPr>
      </w:pPr>
      <w:r>
        <w:rPr>
          <w:sz w:val="22"/>
          <w:szCs w:val="22"/>
          <w:lang w:val="en-US"/>
        </w:rPr>
        <w:t xml:space="preserve">In RAN4#84, we agreed the following in </w:t>
      </w:r>
      <w:r>
        <w:rPr>
          <w:sz w:val="22"/>
          <w:szCs w:val="22"/>
          <w:lang w:val="en-US"/>
        </w:rPr>
        <w:fldChar w:fldCharType="begin"/>
      </w:r>
      <w:r>
        <w:rPr>
          <w:sz w:val="22"/>
          <w:szCs w:val="22"/>
          <w:lang w:val="en-US"/>
        </w:rPr>
        <w:instrText xml:space="preserve"> REF _Ref492553757 \r \h </w:instrText>
      </w:r>
      <w:r>
        <w:rPr>
          <w:sz w:val="22"/>
          <w:szCs w:val="22"/>
          <w:lang w:val="en-US"/>
        </w:rPr>
      </w:r>
      <w:r>
        <w:rPr>
          <w:sz w:val="22"/>
          <w:szCs w:val="22"/>
          <w:lang w:val="en-US"/>
        </w:rPr>
        <w:fldChar w:fldCharType="separate"/>
      </w:r>
      <w:r>
        <w:rPr>
          <w:sz w:val="22"/>
          <w:szCs w:val="22"/>
          <w:lang w:val="en-US"/>
        </w:rPr>
        <w:t>[1]</w:t>
      </w:r>
      <w:r>
        <w:rPr>
          <w:sz w:val="22"/>
          <w:szCs w:val="22"/>
          <w:lang w:val="en-US"/>
        </w:rPr>
        <w:fldChar w:fldCharType="end"/>
      </w:r>
      <w:r>
        <w:rPr>
          <w:sz w:val="22"/>
          <w:szCs w:val="22"/>
          <w:lang w:val="en-US"/>
        </w:rPr>
        <w:t>:</w:t>
      </w:r>
    </w:p>
    <w:p w14:paraId="77A3C5B0" w14:textId="77777777" w:rsidR="008F2DA9" w:rsidRPr="0045248C" w:rsidRDefault="002C7762" w:rsidP="00F07840">
      <w:pPr>
        <w:numPr>
          <w:ilvl w:val="0"/>
          <w:numId w:val="49"/>
        </w:numPr>
        <w:rPr>
          <w:i/>
          <w:sz w:val="22"/>
          <w:szCs w:val="22"/>
          <w:lang w:val="en-US"/>
        </w:rPr>
      </w:pPr>
      <w:r w:rsidRPr="0045248C">
        <w:rPr>
          <w:i/>
          <w:sz w:val="22"/>
          <w:szCs w:val="22"/>
        </w:rPr>
        <w:t>Transmission BW configuration of wanted channel (it would differ depend on SCS, CBW or Band) is used as a measurement BW for wanted signal power measurement (regardless of adjacent RAT).</w:t>
      </w:r>
    </w:p>
    <w:p w14:paraId="60E3EBAB" w14:textId="77777777" w:rsidR="008F2DA9" w:rsidRPr="0045248C" w:rsidRDefault="002C7762" w:rsidP="00F07840">
      <w:pPr>
        <w:numPr>
          <w:ilvl w:val="0"/>
          <w:numId w:val="49"/>
        </w:numPr>
        <w:rPr>
          <w:i/>
          <w:sz w:val="22"/>
          <w:szCs w:val="22"/>
          <w:lang w:val="en-US"/>
        </w:rPr>
      </w:pPr>
      <w:r w:rsidRPr="0045248C">
        <w:rPr>
          <w:i/>
          <w:sz w:val="22"/>
          <w:szCs w:val="22"/>
          <w:lang w:val="en-US"/>
        </w:rPr>
        <w:t xml:space="preserve">As below table, </w:t>
      </w:r>
      <w:r w:rsidRPr="0045248C">
        <w:rPr>
          <w:i/>
          <w:sz w:val="22"/>
          <w:szCs w:val="22"/>
        </w:rPr>
        <w:t>for ACLR vs. UTRA/E-UTRA, the same measurement BW is used for adjacent channel power measurement with existing E-UTRA spec. Not to specify vs. other E-UTRA CBW than 5MHz.</w:t>
      </w:r>
    </w:p>
    <w:p w14:paraId="22D4ED58" w14:textId="77777777" w:rsidR="008F2DA9" w:rsidRPr="0045248C" w:rsidRDefault="002C7762" w:rsidP="00F07840">
      <w:pPr>
        <w:numPr>
          <w:ilvl w:val="0"/>
          <w:numId w:val="49"/>
        </w:numPr>
        <w:rPr>
          <w:i/>
          <w:sz w:val="22"/>
          <w:szCs w:val="22"/>
          <w:lang w:val="en-US"/>
        </w:rPr>
      </w:pPr>
      <w:r w:rsidRPr="0045248C">
        <w:rPr>
          <w:i/>
          <w:sz w:val="22"/>
          <w:szCs w:val="22"/>
        </w:rPr>
        <w:t>No need to specify ACLR vs. UTRA in core spec since it is already covered by ACLR vs. E-UTRA case.</w:t>
      </w:r>
    </w:p>
    <w:p w14:paraId="73062C29" w14:textId="6DF8CFC2" w:rsidR="00F07840" w:rsidRDefault="00F07840" w:rsidP="00854669">
      <w:pPr>
        <w:rPr>
          <w:sz w:val="22"/>
          <w:szCs w:val="22"/>
          <w:lang w:val="en-US"/>
        </w:rPr>
      </w:pPr>
      <w:r>
        <w:rPr>
          <w:sz w:val="22"/>
          <w:szCs w:val="22"/>
          <w:lang w:val="en-US"/>
        </w:rPr>
        <w:t xml:space="preserve">We also have </w:t>
      </w:r>
      <w:r w:rsidR="00CA6CFE">
        <w:rPr>
          <w:sz w:val="22"/>
          <w:szCs w:val="22"/>
          <w:lang w:val="en-US"/>
        </w:rPr>
        <w:t xml:space="preserve">proposed </w:t>
      </w:r>
      <w:r>
        <w:rPr>
          <w:sz w:val="22"/>
          <w:szCs w:val="22"/>
          <w:lang w:val="en-US"/>
        </w:rPr>
        <w:t xml:space="preserve">the following: </w:t>
      </w:r>
    </w:p>
    <w:p w14:paraId="2F6AC8AC" w14:textId="77777777" w:rsidR="008F2DA9" w:rsidRPr="0045248C" w:rsidRDefault="002C7762" w:rsidP="00F07840">
      <w:pPr>
        <w:numPr>
          <w:ilvl w:val="0"/>
          <w:numId w:val="50"/>
        </w:numPr>
        <w:rPr>
          <w:i/>
          <w:sz w:val="22"/>
          <w:szCs w:val="22"/>
          <w:lang w:val="en-US"/>
        </w:rPr>
      </w:pPr>
      <w:r w:rsidRPr="0045248C">
        <w:rPr>
          <w:i/>
          <w:sz w:val="22"/>
          <w:szCs w:val="22"/>
        </w:rPr>
        <w:t>For ACLR vs. NR, following options can be considered as a measurement BW for adjacent channel power measurement.</w:t>
      </w:r>
    </w:p>
    <w:p w14:paraId="2EA1469A" w14:textId="77777777" w:rsidR="008F2DA9" w:rsidRPr="0045248C" w:rsidRDefault="002C7762" w:rsidP="00F07840">
      <w:pPr>
        <w:numPr>
          <w:ilvl w:val="1"/>
          <w:numId w:val="50"/>
        </w:numPr>
        <w:rPr>
          <w:i/>
          <w:sz w:val="22"/>
          <w:szCs w:val="22"/>
          <w:lang w:val="en-US"/>
        </w:rPr>
      </w:pPr>
      <w:r w:rsidRPr="0045248C">
        <w:rPr>
          <w:i/>
          <w:sz w:val="22"/>
          <w:szCs w:val="22"/>
        </w:rPr>
        <w:t>Option 1: max transmission BW configuration of the CBW (between SCS)</w:t>
      </w:r>
    </w:p>
    <w:p w14:paraId="7C1E4CCC" w14:textId="77777777" w:rsidR="008F2DA9" w:rsidRPr="0045248C" w:rsidRDefault="002C7762" w:rsidP="00F07840">
      <w:pPr>
        <w:numPr>
          <w:ilvl w:val="1"/>
          <w:numId w:val="50"/>
        </w:numPr>
        <w:rPr>
          <w:i/>
          <w:sz w:val="22"/>
          <w:szCs w:val="22"/>
          <w:lang w:val="en-US"/>
        </w:rPr>
      </w:pPr>
      <w:r w:rsidRPr="0045248C">
        <w:rPr>
          <w:i/>
          <w:sz w:val="22"/>
          <w:szCs w:val="22"/>
        </w:rPr>
        <w:t>Option 2: transmission BW configuration of wanted signal (with the same SCS)</w:t>
      </w:r>
    </w:p>
    <w:p w14:paraId="3175198F" w14:textId="537E8E65" w:rsidR="008F2DA9" w:rsidRPr="0045248C" w:rsidRDefault="002C7762" w:rsidP="00F07840">
      <w:pPr>
        <w:numPr>
          <w:ilvl w:val="2"/>
          <w:numId w:val="50"/>
        </w:numPr>
        <w:rPr>
          <w:i/>
          <w:sz w:val="22"/>
          <w:szCs w:val="22"/>
          <w:lang w:val="en-US"/>
        </w:rPr>
      </w:pPr>
      <w:r w:rsidRPr="0045248C">
        <w:rPr>
          <w:i/>
          <w:sz w:val="22"/>
          <w:szCs w:val="22"/>
          <w:lang w:val="en-US"/>
        </w:rPr>
        <w:t xml:space="preserve">Investigate whether </w:t>
      </w:r>
      <w:r w:rsidR="004C6947" w:rsidRPr="0045248C">
        <w:rPr>
          <w:i/>
          <w:sz w:val="22"/>
          <w:szCs w:val="22"/>
        </w:rPr>
        <w:t>Co-existence</w:t>
      </w:r>
      <w:r w:rsidRPr="0045248C">
        <w:rPr>
          <w:i/>
          <w:sz w:val="22"/>
          <w:szCs w:val="22"/>
        </w:rPr>
        <w:t xml:space="preserve"> </w:t>
      </w:r>
      <w:r w:rsidRPr="0045248C">
        <w:rPr>
          <w:i/>
          <w:sz w:val="22"/>
          <w:szCs w:val="22"/>
          <w:lang w:val="en-US"/>
        </w:rPr>
        <w:t>is</w:t>
      </w:r>
      <w:r w:rsidRPr="0045248C">
        <w:rPr>
          <w:i/>
          <w:sz w:val="22"/>
          <w:szCs w:val="22"/>
        </w:rPr>
        <w:t xml:space="preserve"> guaranteed or not with adjacent channel which uses smaller SCS than own one.</w:t>
      </w:r>
    </w:p>
    <w:p w14:paraId="61EAAAEF" w14:textId="33098D5E" w:rsidR="00A94494" w:rsidRPr="00A94494" w:rsidRDefault="005910C7" w:rsidP="00A94494">
      <w:pPr>
        <w:rPr>
          <w:lang w:val="en-US"/>
        </w:rPr>
      </w:pPr>
      <w:r>
        <w:rPr>
          <w:lang w:val="en-US"/>
        </w:rPr>
        <w:t>In this contribution,</w:t>
      </w:r>
      <w:r w:rsidR="00C27860">
        <w:rPr>
          <w:lang w:val="en-US"/>
        </w:rPr>
        <w:t xml:space="preserve"> </w:t>
      </w:r>
      <w:r w:rsidR="00835328">
        <w:rPr>
          <w:lang w:val="en-US"/>
        </w:rPr>
        <w:t xml:space="preserve">we discuss </w:t>
      </w:r>
      <w:r w:rsidR="008D5030">
        <w:rPr>
          <w:lang w:val="en-US"/>
        </w:rPr>
        <w:t>our understanding on BS ACLR measurement window for adjacent channel</w:t>
      </w:r>
      <w:r w:rsidR="004B470C">
        <w:rPr>
          <w:lang w:val="en-US"/>
        </w:rPr>
        <w:t>.</w:t>
      </w:r>
      <w:r w:rsidR="00835328">
        <w:rPr>
          <w:lang w:val="en-US"/>
        </w:rPr>
        <w:t xml:space="preserve"> </w:t>
      </w:r>
      <w:r>
        <w:rPr>
          <w:lang w:val="en-US"/>
        </w:rPr>
        <w:t xml:space="preserve">  </w:t>
      </w:r>
    </w:p>
    <w:p w14:paraId="4287917B" w14:textId="2CA24AEB" w:rsidR="00BE73C3" w:rsidRDefault="00BE73C3" w:rsidP="00703346">
      <w:pPr>
        <w:pStyle w:val="Heading1"/>
        <w:rPr>
          <w:lang w:val="en-US"/>
        </w:rPr>
      </w:pPr>
      <w:r>
        <w:rPr>
          <w:lang w:val="en-US"/>
        </w:rPr>
        <w:t>A</w:t>
      </w:r>
      <w:r w:rsidR="0045248C">
        <w:rPr>
          <w:lang w:val="en-US"/>
        </w:rPr>
        <w:t xml:space="preserve">CLR measurement bandwidth for NR vs NR case </w:t>
      </w:r>
    </w:p>
    <w:p w14:paraId="34827A9D" w14:textId="09F2E813" w:rsidR="00D05520" w:rsidRDefault="00CA6CFE" w:rsidP="00E05F90">
      <w:pPr>
        <w:rPr>
          <w:lang w:val="en-US"/>
        </w:rPr>
      </w:pPr>
      <w:r>
        <w:rPr>
          <w:lang w:val="en-US"/>
        </w:rPr>
        <w:t xml:space="preserve">For ACLR measurement between two NR carriers, </w:t>
      </w:r>
      <w:r w:rsidR="00E1340B">
        <w:rPr>
          <w:lang w:val="en-US"/>
        </w:rPr>
        <w:t xml:space="preserve">there is a possibility to have different subcarrier spacing. </w:t>
      </w:r>
      <w:r w:rsidR="00D05520">
        <w:rPr>
          <w:lang w:val="en-US"/>
        </w:rPr>
        <w:t xml:space="preserve">As shown in the WF </w:t>
      </w:r>
      <w:r w:rsidR="00D05520">
        <w:rPr>
          <w:lang w:val="en-US"/>
        </w:rPr>
        <w:fldChar w:fldCharType="begin"/>
      </w:r>
      <w:r w:rsidR="00D05520">
        <w:rPr>
          <w:lang w:val="en-US"/>
        </w:rPr>
        <w:instrText xml:space="preserve"> REF _Ref492553757 \r \h </w:instrText>
      </w:r>
      <w:r w:rsidR="00D05520">
        <w:rPr>
          <w:lang w:val="en-US"/>
        </w:rPr>
      </w:r>
      <w:r w:rsidR="00D05520">
        <w:rPr>
          <w:lang w:val="en-US"/>
        </w:rPr>
        <w:fldChar w:fldCharType="separate"/>
      </w:r>
      <w:r w:rsidR="00D05520">
        <w:rPr>
          <w:lang w:val="en-US"/>
        </w:rPr>
        <w:t>[1]</w:t>
      </w:r>
      <w:r w:rsidR="00D05520">
        <w:rPr>
          <w:lang w:val="en-US"/>
        </w:rPr>
        <w:fldChar w:fldCharType="end"/>
      </w:r>
      <w:r w:rsidR="00D05520">
        <w:rPr>
          <w:lang w:val="en-US"/>
        </w:rPr>
        <w:t xml:space="preserve">, </w:t>
      </w:r>
      <w:r w:rsidR="00CB6FE2">
        <w:rPr>
          <w:lang w:val="en-US"/>
        </w:rPr>
        <w:t xml:space="preserve">following </w:t>
      </w:r>
      <w:r w:rsidR="004C6947">
        <w:rPr>
          <w:lang w:val="en-US"/>
        </w:rPr>
        <w:t>transmission</w:t>
      </w:r>
      <w:r w:rsidR="00CB6FE2">
        <w:rPr>
          <w:lang w:val="en-US"/>
        </w:rPr>
        <w:t xml:space="preserve"> bandwidth configurations can be considered when different subcarrier spacing is used. </w:t>
      </w:r>
    </w:p>
    <w:p w14:paraId="3121B60A" w14:textId="77777777" w:rsidR="00D05520" w:rsidRPr="00F7221C" w:rsidRDefault="00CA6CFE" w:rsidP="00E05F90">
      <w:pPr>
        <w:rPr>
          <w:sz w:val="22"/>
          <w:szCs w:val="22"/>
        </w:rPr>
      </w:pPr>
      <w:r>
        <w:rPr>
          <w:lang w:val="en-US"/>
        </w:rPr>
        <w:t xml:space="preserve"> </w:t>
      </w:r>
      <w:r w:rsidR="00854669">
        <w:rPr>
          <w:lang w:val="en-US"/>
        </w:rPr>
        <w:t xml:space="preserve"> </w:t>
      </w:r>
    </w:p>
    <w:tbl>
      <w:tblPr>
        <w:tblW w:w="6840" w:type="dxa"/>
        <w:tblInd w:w="1503" w:type="dxa"/>
        <w:tblCellMar>
          <w:left w:w="0" w:type="dxa"/>
          <w:right w:w="0" w:type="dxa"/>
        </w:tblCellMar>
        <w:tblLook w:val="0420" w:firstRow="1" w:lastRow="0" w:firstColumn="0" w:lastColumn="0" w:noHBand="0" w:noVBand="1"/>
      </w:tblPr>
      <w:tblGrid>
        <w:gridCol w:w="1260"/>
        <w:gridCol w:w="920"/>
        <w:gridCol w:w="2160"/>
        <w:gridCol w:w="2500"/>
      </w:tblGrid>
      <w:tr w:rsidR="00D05520" w:rsidRPr="00D05520" w14:paraId="2C665EAA" w14:textId="77777777" w:rsidTr="001759ED">
        <w:trPr>
          <w:trHeight w:val="584"/>
        </w:trPr>
        <w:tc>
          <w:tcPr>
            <w:tcW w:w="1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5167E2" w14:textId="77777777" w:rsidR="00D05520" w:rsidRPr="00D05520" w:rsidRDefault="00D05520" w:rsidP="001759ED">
            <w:pPr>
              <w:jc w:val="center"/>
              <w:rPr>
                <w:lang w:val="sv-SE"/>
              </w:rPr>
            </w:pPr>
            <w:r w:rsidRPr="00D05520">
              <w:rPr>
                <w:lang w:val="en-US"/>
              </w:rPr>
              <w:t>SCS</w:t>
            </w:r>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0B4987" w14:textId="77777777" w:rsidR="00D05520" w:rsidRPr="00D05520" w:rsidRDefault="00D05520" w:rsidP="001759ED">
            <w:pPr>
              <w:jc w:val="center"/>
              <w:rPr>
                <w:lang w:val="sv-SE"/>
              </w:rPr>
            </w:pPr>
            <w:r w:rsidRPr="00D05520">
              <w:rPr>
                <w:lang w:val="en-US"/>
              </w:rPr>
              <w:t>N</w:t>
            </w:r>
            <w:r w:rsidRPr="00D05520">
              <w:rPr>
                <w:vertAlign w:val="subscript"/>
                <w:lang w:val="en-US"/>
              </w:rPr>
              <w:t>RB</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10A6C4" w14:textId="77777777" w:rsidR="00D05520" w:rsidRPr="00D05520" w:rsidRDefault="00D05520" w:rsidP="001759ED">
            <w:pPr>
              <w:jc w:val="center"/>
              <w:rPr>
                <w:lang w:val="sv-SE"/>
              </w:rPr>
            </w:pPr>
            <w:r w:rsidRPr="00D05520">
              <w:t>X = BW</w:t>
            </w:r>
            <w:r w:rsidRPr="00D05520">
              <w:rPr>
                <w:vertAlign w:val="subscript"/>
              </w:rPr>
              <w:t>config</w:t>
            </w:r>
            <w:r w:rsidRPr="00D05520">
              <w:t xml:space="preserve"> / BW</w:t>
            </w:r>
            <w:r w:rsidRPr="00D05520">
              <w:rPr>
                <w:vertAlign w:val="subscript"/>
              </w:rPr>
              <w:t>channel</w:t>
            </w:r>
            <w:r w:rsidRPr="00D05520">
              <w:t xml:space="preserve"> [%]</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DAAE88" w14:textId="10EFD147" w:rsidR="00D05520" w:rsidRPr="00D05520" w:rsidRDefault="00D05520" w:rsidP="001759ED">
            <w:pPr>
              <w:jc w:val="center"/>
              <w:rPr>
                <w:lang w:val="sv-SE"/>
              </w:rPr>
            </w:pPr>
            <w:r w:rsidRPr="00D05520">
              <w:rPr>
                <w:lang w:val="en-US"/>
              </w:rPr>
              <w:t>Transmission BW config.</w:t>
            </w:r>
          </w:p>
        </w:tc>
      </w:tr>
      <w:tr w:rsidR="00D05520" w:rsidRPr="00D05520" w14:paraId="7664A96B" w14:textId="77777777" w:rsidTr="001759ED">
        <w:trPr>
          <w:trHeight w:val="82"/>
        </w:trPr>
        <w:tc>
          <w:tcPr>
            <w:tcW w:w="1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4A6FA1" w14:textId="77777777" w:rsidR="00D05520" w:rsidRPr="00D05520" w:rsidRDefault="00D05520" w:rsidP="001759ED">
            <w:pPr>
              <w:jc w:val="center"/>
              <w:rPr>
                <w:lang w:val="sv-SE"/>
              </w:rPr>
            </w:pPr>
            <w:r w:rsidRPr="00D05520">
              <w:rPr>
                <w:lang w:val="en-US"/>
              </w:rPr>
              <w:t>15kHz</w:t>
            </w:r>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A96574" w14:textId="77777777" w:rsidR="00D05520" w:rsidRPr="00D05520" w:rsidRDefault="00D05520" w:rsidP="001759ED">
            <w:pPr>
              <w:jc w:val="center"/>
              <w:rPr>
                <w:lang w:val="sv-SE"/>
              </w:rPr>
            </w:pPr>
            <w:r w:rsidRPr="00D05520">
              <w:rPr>
                <w:lang w:val="en-US"/>
              </w:rPr>
              <w:t>270</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A5F79E" w14:textId="77777777" w:rsidR="00D05520" w:rsidRPr="00D05520" w:rsidRDefault="00D05520" w:rsidP="001759ED">
            <w:pPr>
              <w:jc w:val="center"/>
              <w:rPr>
                <w:lang w:val="sv-SE"/>
              </w:rPr>
            </w:pPr>
            <w:r w:rsidRPr="00D05520">
              <w:rPr>
                <w:lang w:val="en-US"/>
              </w:rPr>
              <w:t>97.2</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19587D" w14:textId="77777777" w:rsidR="00D05520" w:rsidRPr="00D05520" w:rsidRDefault="00D05520" w:rsidP="001759ED">
            <w:pPr>
              <w:jc w:val="center"/>
              <w:rPr>
                <w:lang w:val="sv-SE"/>
              </w:rPr>
            </w:pPr>
            <w:r w:rsidRPr="00D05520">
              <w:rPr>
                <w:lang w:val="en-US"/>
              </w:rPr>
              <w:t>48.6 MHz</w:t>
            </w:r>
          </w:p>
        </w:tc>
      </w:tr>
      <w:tr w:rsidR="00D05520" w:rsidRPr="00D05520" w14:paraId="6E789E8E" w14:textId="77777777" w:rsidTr="001759ED">
        <w:trPr>
          <w:trHeight w:val="19"/>
        </w:trPr>
        <w:tc>
          <w:tcPr>
            <w:tcW w:w="1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C4714C" w14:textId="77777777" w:rsidR="00D05520" w:rsidRPr="00D05520" w:rsidRDefault="00D05520" w:rsidP="001759ED">
            <w:pPr>
              <w:jc w:val="center"/>
              <w:rPr>
                <w:lang w:val="sv-SE"/>
              </w:rPr>
            </w:pPr>
            <w:r w:rsidRPr="00D05520">
              <w:rPr>
                <w:lang w:val="en-US"/>
              </w:rPr>
              <w:t>30kHz</w:t>
            </w:r>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3B3B2A" w14:textId="77777777" w:rsidR="00D05520" w:rsidRPr="00D05520" w:rsidRDefault="00D05520" w:rsidP="001759ED">
            <w:pPr>
              <w:jc w:val="center"/>
              <w:rPr>
                <w:lang w:val="sv-SE"/>
              </w:rPr>
            </w:pPr>
            <w:r w:rsidRPr="00D05520">
              <w:rPr>
                <w:lang w:val="en-US"/>
              </w:rPr>
              <w:t>133</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5989D4" w14:textId="77777777" w:rsidR="00D05520" w:rsidRPr="00D05520" w:rsidRDefault="00D05520" w:rsidP="001759ED">
            <w:pPr>
              <w:jc w:val="center"/>
              <w:rPr>
                <w:lang w:val="sv-SE"/>
              </w:rPr>
            </w:pPr>
            <w:r w:rsidRPr="00D05520">
              <w:rPr>
                <w:lang w:val="en-US"/>
              </w:rPr>
              <w:t>95.8</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098679" w14:textId="77777777" w:rsidR="00D05520" w:rsidRPr="00D05520" w:rsidRDefault="00D05520" w:rsidP="001759ED">
            <w:pPr>
              <w:jc w:val="center"/>
              <w:rPr>
                <w:lang w:val="sv-SE"/>
              </w:rPr>
            </w:pPr>
            <w:r w:rsidRPr="00D05520">
              <w:rPr>
                <w:lang w:val="en-US"/>
              </w:rPr>
              <w:t>47.88 MHz</w:t>
            </w:r>
          </w:p>
        </w:tc>
      </w:tr>
      <w:tr w:rsidR="00D05520" w:rsidRPr="00D05520" w14:paraId="087FC2E7" w14:textId="77777777" w:rsidTr="001759ED">
        <w:trPr>
          <w:trHeight w:val="40"/>
        </w:trPr>
        <w:tc>
          <w:tcPr>
            <w:tcW w:w="1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679C2F" w14:textId="77777777" w:rsidR="00D05520" w:rsidRPr="00D05520" w:rsidRDefault="00D05520" w:rsidP="001759ED">
            <w:pPr>
              <w:jc w:val="center"/>
              <w:rPr>
                <w:lang w:val="sv-SE"/>
              </w:rPr>
            </w:pPr>
            <w:r w:rsidRPr="00D05520">
              <w:rPr>
                <w:lang w:val="en-US"/>
              </w:rPr>
              <w:t>60kHz</w:t>
            </w:r>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DF6E72" w14:textId="77777777" w:rsidR="00D05520" w:rsidRPr="00D05520" w:rsidRDefault="00D05520" w:rsidP="001759ED">
            <w:pPr>
              <w:jc w:val="center"/>
              <w:rPr>
                <w:lang w:val="sv-SE"/>
              </w:rPr>
            </w:pPr>
            <w:r w:rsidRPr="00D05520">
              <w:rPr>
                <w:lang w:val="en-US"/>
              </w:rPr>
              <w:t>65</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9CEE2B" w14:textId="77777777" w:rsidR="00D05520" w:rsidRPr="00D05520" w:rsidRDefault="00D05520" w:rsidP="001759ED">
            <w:pPr>
              <w:jc w:val="center"/>
              <w:rPr>
                <w:lang w:val="sv-SE"/>
              </w:rPr>
            </w:pPr>
            <w:r w:rsidRPr="00D05520">
              <w:rPr>
                <w:lang w:val="en-US"/>
              </w:rPr>
              <w:t>93.6</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69D0E5" w14:textId="77777777" w:rsidR="00D05520" w:rsidRPr="00D05520" w:rsidRDefault="00D05520" w:rsidP="001759ED">
            <w:pPr>
              <w:jc w:val="center"/>
              <w:rPr>
                <w:lang w:val="sv-SE"/>
              </w:rPr>
            </w:pPr>
            <w:r w:rsidRPr="00D05520">
              <w:rPr>
                <w:lang w:val="en-US"/>
              </w:rPr>
              <w:t>46.8 MHz</w:t>
            </w:r>
          </w:p>
        </w:tc>
      </w:tr>
    </w:tbl>
    <w:p w14:paraId="7C13F282" w14:textId="0A1B6073" w:rsidR="00E05F90" w:rsidRDefault="00E05F90" w:rsidP="00E05F90">
      <w:pPr>
        <w:rPr>
          <w:sz w:val="22"/>
          <w:szCs w:val="22"/>
        </w:rPr>
      </w:pPr>
    </w:p>
    <w:p w14:paraId="574FDD0A" w14:textId="4FF5250E" w:rsidR="001759ED" w:rsidRDefault="001759ED" w:rsidP="00E05F90">
      <w:pPr>
        <w:rPr>
          <w:sz w:val="22"/>
          <w:szCs w:val="22"/>
        </w:rPr>
      </w:pPr>
      <w:r>
        <w:rPr>
          <w:sz w:val="22"/>
          <w:szCs w:val="22"/>
        </w:rPr>
        <w:t>In the above table, three different transmission bandwidth configuration can happen for adjacent channel depending on the subcarrier spacing. We propose to test these three cases separately, thus following measurement bandwidth is considered.</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93"/>
        <w:gridCol w:w="2268"/>
        <w:gridCol w:w="1134"/>
        <w:gridCol w:w="1418"/>
        <w:gridCol w:w="2008"/>
        <w:gridCol w:w="912"/>
      </w:tblGrid>
      <w:tr w:rsidR="001759ED" w:rsidRPr="001E2D04" w14:paraId="12C94469" w14:textId="77777777" w:rsidTr="001759ED">
        <w:trPr>
          <w:cantSplit/>
          <w:trHeight w:val="1242"/>
          <w:jc w:val="center"/>
        </w:trPr>
        <w:tc>
          <w:tcPr>
            <w:tcW w:w="1693" w:type="dxa"/>
          </w:tcPr>
          <w:p w14:paraId="07C40718" w14:textId="65E209D2" w:rsidR="001759ED" w:rsidRPr="001E2D04" w:rsidRDefault="001759ED" w:rsidP="001A384D">
            <w:pPr>
              <w:pStyle w:val="TAH"/>
              <w:rPr>
                <w:rFonts w:cs="v5.0.0"/>
              </w:rPr>
            </w:pPr>
            <w:r>
              <w:rPr>
                <w:rFonts w:cs="v5.0.0"/>
              </w:rPr>
              <w:lastRenderedPageBreak/>
              <w:t xml:space="preserve">Channel </w:t>
            </w:r>
            <w:r w:rsidRPr="001E2D04">
              <w:rPr>
                <w:rFonts w:cs="v5.0.0"/>
              </w:rPr>
              <w:t xml:space="preserve">bandwidth </w:t>
            </w:r>
            <w:r w:rsidRPr="001E2D04">
              <w:rPr>
                <w:rFonts w:eastAsia="SimSun" w:cs="v5.0.0"/>
              </w:rPr>
              <w:t xml:space="preserve">of </w:t>
            </w:r>
            <w:r w:rsidRPr="001E2D04">
              <w:rPr>
                <w:rFonts w:cs="v5.0.0"/>
              </w:rPr>
              <w:t xml:space="preserve">E-UTRA </w:t>
            </w:r>
            <w:r w:rsidRPr="001E2D04">
              <w:rPr>
                <w:rFonts w:eastAsia="SimSun" w:cs="v5.0.0"/>
              </w:rPr>
              <w:t>l</w:t>
            </w:r>
            <w:r w:rsidRPr="001E2D04">
              <w:rPr>
                <w:rFonts w:eastAsia="SimSun" w:cs="Arial"/>
              </w:rPr>
              <w:t>owest/highest carrier</w:t>
            </w:r>
            <w:r w:rsidRPr="001E2D04">
              <w:rPr>
                <w:rFonts w:cs="v5.0.0"/>
              </w:rPr>
              <w:t xml:space="preserve"> transmitted </w:t>
            </w:r>
            <w:r w:rsidRPr="001E2D04">
              <w:rPr>
                <w:rFonts w:cs="Arial"/>
              </w:rPr>
              <w:t>BW</w:t>
            </w:r>
            <w:r w:rsidRPr="001E2D04">
              <w:rPr>
                <w:rFonts w:cs="Arial"/>
                <w:vertAlign w:val="subscript"/>
              </w:rPr>
              <w:t>Channel</w:t>
            </w:r>
            <w:r w:rsidRPr="001E2D04">
              <w:rPr>
                <w:rFonts w:cs="v5.0.0"/>
              </w:rPr>
              <w:t xml:space="preserve"> [MHz] </w:t>
            </w:r>
          </w:p>
        </w:tc>
        <w:tc>
          <w:tcPr>
            <w:tcW w:w="2268" w:type="dxa"/>
          </w:tcPr>
          <w:p w14:paraId="0650C8F6" w14:textId="77777777" w:rsidR="001759ED" w:rsidRPr="001E2D04" w:rsidRDefault="001759ED" w:rsidP="001A384D">
            <w:pPr>
              <w:pStyle w:val="TAH"/>
              <w:rPr>
                <w:rFonts w:cs="v5.0.0"/>
              </w:rPr>
            </w:pPr>
            <w:r w:rsidRPr="001E2D04">
              <w:rPr>
                <w:rFonts w:cs="v5.0.0"/>
              </w:rPr>
              <w:t xml:space="preserve">BS adjacent channel centre frequency offset below the </w:t>
            </w:r>
            <w:r w:rsidRPr="001E2D04">
              <w:rPr>
                <w:rFonts w:eastAsia="SimSun" w:cs="v5.0.0"/>
              </w:rPr>
              <w:t>lowest</w:t>
            </w:r>
            <w:r w:rsidRPr="001E2D04">
              <w:rPr>
                <w:rFonts w:cs="v5.0.0"/>
              </w:rPr>
              <w:t xml:space="preserve"> or above the </w:t>
            </w:r>
            <w:r w:rsidRPr="001E2D04">
              <w:rPr>
                <w:rFonts w:eastAsia="SimSun" w:cs="v5.0.0"/>
              </w:rPr>
              <w:t>highest</w:t>
            </w:r>
            <w:r w:rsidRPr="001E2D04">
              <w:rPr>
                <w:rFonts w:cs="v5.0.0"/>
              </w:rPr>
              <w:t xml:space="preserve"> carrier centre frequency transmitted</w:t>
            </w:r>
          </w:p>
        </w:tc>
        <w:tc>
          <w:tcPr>
            <w:tcW w:w="1134" w:type="dxa"/>
          </w:tcPr>
          <w:p w14:paraId="5544A2C4" w14:textId="046148E3" w:rsidR="001759ED" w:rsidRDefault="001759ED" w:rsidP="001759ED">
            <w:pPr>
              <w:pStyle w:val="TAH"/>
              <w:rPr>
                <w:rFonts w:cs="v5.0.0"/>
              </w:rPr>
            </w:pPr>
            <w:r>
              <w:rPr>
                <w:rFonts w:cs="v5.0.0"/>
              </w:rPr>
              <w:t>Subcarrier spacing (kHz)</w:t>
            </w:r>
          </w:p>
          <w:p w14:paraId="42ED8FB8" w14:textId="0699BE2D" w:rsidR="001759ED" w:rsidRPr="001E2D04" w:rsidRDefault="001759ED" w:rsidP="001A384D">
            <w:pPr>
              <w:pStyle w:val="TAH"/>
              <w:rPr>
                <w:rFonts w:cs="v5.0.0"/>
              </w:rPr>
            </w:pPr>
          </w:p>
        </w:tc>
        <w:tc>
          <w:tcPr>
            <w:tcW w:w="1418" w:type="dxa"/>
          </w:tcPr>
          <w:p w14:paraId="643A4368" w14:textId="451199AA" w:rsidR="001759ED" w:rsidRPr="001E2D04" w:rsidRDefault="001759ED" w:rsidP="001A384D">
            <w:pPr>
              <w:pStyle w:val="TAH"/>
              <w:rPr>
                <w:rFonts w:cs="v5.0.0"/>
              </w:rPr>
            </w:pPr>
            <w:r w:rsidRPr="001E2D04">
              <w:rPr>
                <w:rFonts w:cs="v5.0.0"/>
              </w:rPr>
              <w:t>Assumed adjacent channel carrier (informative)</w:t>
            </w:r>
          </w:p>
        </w:tc>
        <w:tc>
          <w:tcPr>
            <w:tcW w:w="2008" w:type="dxa"/>
          </w:tcPr>
          <w:p w14:paraId="2A38D5E8" w14:textId="77777777" w:rsidR="001759ED" w:rsidRPr="001E2D04" w:rsidRDefault="001759ED" w:rsidP="001A384D">
            <w:pPr>
              <w:pStyle w:val="TAH"/>
              <w:rPr>
                <w:rFonts w:cs="v5.0.0"/>
              </w:rPr>
            </w:pPr>
            <w:r w:rsidRPr="001E2D04">
              <w:rPr>
                <w:rFonts w:cs="v5.0.0"/>
              </w:rPr>
              <w:t>Filter on the adjacent channel frequency and corresponding filter bandwidth</w:t>
            </w:r>
          </w:p>
        </w:tc>
        <w:tc>
          <w:tcPr>
            <w:tcW w:w="912" w:type="dxa"/>
          </w:tcPr>
          <w:p w14:paraId="6172F90D" w14:textId="77777777" w:rsidR="001759ED" w:rsidRPr="001E2D04" w:rsidRDefault="001759ED" w:rsidP="001A384D">
            <w:pPr>
              <w:pStyle w:val="TAH"/>
              <w:rPr>
                <w:rFonts w:cs="v5.0.0"/>
              </w:rPr>
            </w:pPr>
            <w:r w:rsidRPr="001E2D04">
              <w:rPr>
                <w:rFonts w:cs="v5.0.0"/>
              </w:rPr>
              <w:t>ACLR limit</w:t>
            </w:r>
          </w:p>
        </w:tc>
      </w:tr>
      <w:tr w:rsidR="001759ED" w:rsidRPr="001E2D04" w14:paraId="379D7267" w14:textId="77777777" w:rsidTr="005847BA">
        <w:trPr>
          <w:cantSplit/>
          <w:jc w:val="center"/>
        </w:trPr>
        <w:tc>
          <w:tcPr>
            <w:tcW w:w="1693" w:type="dxa"/>
            <w:vMerge w:val="restart"/>
          </w:tcPr>
          <w:p w14:paraId="47EBA5A0" w14:textId="16784012" w:rsidR="001759ED" w:rsidRPr="001759ED" w:rsidRDefault="001759ED" w:rsidP="001759ED">
            <w:pPr>
              <w:pStyle w:val="TAH"/>
              <w:rPr>
                <w:rFonts w:eastAsia="SimSun" w:cs="v5.0.0"/>
                <w:b w:val="0"/>
              </w:rPr>
            </w:pPr>
            <w:r>
              <w:rPr>
                <w:rFonts w:eastAsia="SimSun" w:cs="v5.0.0"/>
                <w:b w:val="0"/>
              </w:rPr>
              <w:t>e.g. 5</w:t>
            </w:r>
            <w:r w:rsidRPr="001759ED">
              <w:rPr>
                <w:rFonts w:eastAsia="SimSun" w:cs="v5.0.0"/>
                <w:b w:val="0"/>
              </w:rPr>
              <w:t>0</w:t>
            </w:r>
          </w:p>
        </w:tc>
        <w:tc>
          <w:tcPr>
            <w:tcW w:w="2268" w:type="dxa"/>
            <w:vMerge w:val="restart"/>
          </w:tcPr>
          <w:p w14:paraId="363DD573" w14:textId="5FC2D250" w:rsidR="001759ED" w:rsidRPr="001759ED" w:rsidRDefault="001759ED" w:rsidP="001759ED">
            <w:pPr>
              <w:pStyle w:val="TAH"/>
              <w:rPr>
                <w:rFonts w:cs="v5.0.0"/>
                <w:b w:val="0"/>
              </w:rPr>
            </w:pPr>
            <w:r w:rsidRPr="00CB6FE2">
              <w:rPr>
                <w:rFonts w:cs="v5.0.0"/>
                <w:b w:val="0"/>
              </w:rPr>
              <w:t>BW</w:t>
            </w:r>
            <w:r w:rsidRPr="001759ED">
              <w:rPr>
                <w:rFonts w:cs="v5.0.0"/>
                <w:b w:val="0"/>
                <w:vertAlign w:val="subscript"/>
              </w:rPr>
              <w:t>Channel</w:t>
            </w:r>
          </w:p>
        </w:tc>
        <w:tc>
          <w:tcPr>
            <w:tcW w:w="1134" w:type="dxa"/>
          </w:tcPr>
          <w:p w14:paraId="19CE6EE4" w14:textId="26267E05" w:rsidR="001759ED" w:rsidRPr="001759ED" w:rsidRDefault="001759ED" w:rsidP="001759ED">
            <w:pPr>
              <w:pStyle w:val="TAH"/>
              <w:rPr>
                <w:rFonts w:cs="v5.0.0"/>
                <w:b w:val="0"/>
              </w:rPr>
            </w:pPr>
            <w:r>
              <w:rPr>
                <w:rFonts w:cs="v5.0.0"/>
                <w:b w:val="0"/>
              </w:rPr>
              <w:t>15</w:t>
            </w:r>
          </w:p>
        </w:tc>
        <w:tc>
          <w:tcPr>
            <w:tcW w:w="1418" w:type="dxa"/>
          </w:tcPr>
          <w:p w14:paraId="7D326CF2" w14:textId="2A68CDC2" w:rsidR="001759ED" w:rsidRPr="001759ED" w:rsidRDefault="001759ED" w:rsidP="001759ED">
            <w:pPr>
              <w:pStyle w:val="TAH"/>
              <w:rPr>
                <w:rFonts w:cs="v5.0.0"/>
                <w:b w:val="0"/>
              </w:rPr>
            </w:pPr>
            <w:r w:rsidRPr="001759ED">
              <w:rPr>
                <w:b w:val="0"/>
              </w:rPr>
              <w:t>48.6 MHz</w:t>
            </w:r>
          </w:p>
        </w:tc>
        <w:tc>
          <w:tcPr>
            <w:tcW w:w="2008" w:type="dxa"/>
            <w:vMerge w:val="restart"/>
          </w:tcPr>
          <w:p w14:paraId="128A8DC2" w14:textId="616AF497" w:rsidR="001759ED" w:rsidRPr="001759ED" w:rsidRDefault="001759ED" w:rsidP="001759ED">
            <w:pPr>
              <w:pStyle w:val="TAH"/>
              <w:rPr>
                <w:rFonts w:cs="v5.0.0"/>
                <w:b w:val="0"/>
              </w:rPr>
            </w:pPr>
            <w:r w:rsidRPr="001759ED">
              <w:rPr>
                <w:rFonts w:cs="v5.0.0"/>
                <w:b w:val="0"/>
              </w:rPr>
              <w:t>Square (</w:t>
            </w:r>
            <w:r w:rsidRPr="001759ED">
              <w:rPr>
                <w:rFonts w:cs="Arial"/>
                <w:b w:val="0"/>
              </w:rPr>
              <w:t>BW</w:t>
            </w:r>
            <w:r w:rsidRPr="001759ED">
              <w:rPr>
                <w:rFonts w:cs="Arial"/>
                <w:b w:val="0"/>
                <w:vertAlign w:val="subscript"/>
              </w:rPr>
              <w:t>Config</w:t>
            </w:r>
            <w:r w:rsidRPr="001759ED">
              <w:rPr>
                <w:rFonts w:cs="v5.0.0"/>
                <w:b w:val="0"/>
              </w:rPr>
              <w:t>)</w:t>
            </w:r>
          </w:p>
        </w:tc>
        <w:tc>
          <w:tcPr>
            <w:tcW w:w="912" w:type="dxa"/>
            <w:vMerge w:val="restart"/>
          </w:tcPr>
          <w:p w14:paraId="686CF91B" w14:textId="40AEA2DE" w:rsidR="001759ED" w:rsidRPr="001759ED" w:rsidRDefault="001759ED" w:rsidP="001759ED">
            <w:pPr>
              <w:pStyle w:val="TAH"/>
              <w:rPr>
                <w:rFonts w:cs="v5.0.0"/>
                <w:b w:val="0"/>
              </w:rPr>
            </w:pPr>
            <w:r>
              <w:rPr>
                <w:rFonts w:cs="v5.0.0"/>
                <w:b w:val="0"/>
              </w:rPr>
              <w:t>45</w:t>
            </w:r>
          </w:p>
        </w:tc>
      </w:tr>
      <w:tr w:rsidR="001759ED" w:rsidRPr="001E2D04" w14:paraId="501DFC85" w14:textId="77777777" w:rsidTr="005847BA">
        <w:trPr>
          <w:cantSplit/>
          <w:jc w:val="center"/>
        </w:trPr>
        <w:tc>
          <w:tcPr>
            <w:tcW w:w="1693" w:type="dxa"/>
            <w:vMerge/>
          </w:tcPr>
          <w:p w14:paraId="1F0070E4" w14:textId="77777777" w:rsidR="001759ED" w:rsidRDefault="001759ED" w:rsidP="001759ED">
            <w:pPr>
              <w:pStyle w:val="TAH"/>
              <w:rPr>
                <w:rFonts w:eastAsia="SimSun" w:cs="v5.0.0"/>
                <w:b w:val="0"/>
              </w:rPr>
            </w:pPr>
          </w:p>
        </w:tc>
        <w:tc>
          <w:tcPr>
            <w:tcW w:w="2268" w:type="dxa"/>
            <w:vMerge/>
          </w:tcPr>
          <w:p w14:paraId="6EF7AED2" w14:textId="77777777" w:rsidR="001759ED" w:rsidRPr="00CB6FE2" w:rsidRDefault="001759ED" w:rsidP="001759ED">
            <w:pPr>
              <w:pStyle w:val="TAH"/>
              <w:rPr>
                <w:rFonts w:cs="v5.0.0"/>
                <w:b w:val="0"/>
              </w:rPr>
            </w:pPr>
          </w:p>
        </w:tc>
        <w:tc>
          <w:tcPr>
            <w:tcW w:w="1134" w:type="dxa"/>
          </w:tcPr>
          <w:p w14:paraId="7DF7F3C3" w14:textId="4792C4CF" w:rsidR="001759ED" w:rsidRPr="001759ED" w:rsidRDefault="001759ED" w:rsidP="001759ED">
            <w:pPr>
              <w:pStyle w:val="TAH"/>
              <w:rPr>
                <w:rFonts w:cs="v5.0.0"/>
                <w:b w:val="0"/>
              </w:rPr>
            </w:pPr>
            <w:r>
              <w:rPr>
                <w:rFonts w:cs="v5.0.0"/>
                <w:b w:val="0"/>
              </w:rPr>
              <w:t>30</w:t>
            </w:r>
          </w:p>
        </w:tc>
        <w:tc>
          <w:tcPr>
            <w:tcW w:w="1418" w:type="dxa"/>
          </w:tcPr>
          <w:p w14:paraId="2EFA9FE2" w14:textId="11AA620F" w:rsidR="001759ED" w:rsidRPr="001759ED" w:rsidRDefault="001759ED" w:rsidP="001759ED">
            <w:pPr>
              <w:pStyle w:val="TAH"/>
              <w:rPr>
                <w:rFonts w:cs="v5.0.0"/>
                <w:b w:val="0"/>
              </w:rPr>
            </w:pPr>
            <w:r w:rsidRPr="001759ED">
              <w:rPr>
                <w:b w:val="0"/>
              </w:rPr>
              <w:t>47.88 MHz</w:t>
            </w:r>
          </w:p>
        </w:tc>
        <w:tc>
          <w:tcPr>
            <w:tcW w:w="2008" w:type="dxa"/>
            <w:vMerge/>
          </w:tcPr>
          <w:p w14:paraId="5FD462AA" w14:textId="77777777" w:rsidR="001759ED" w:rsidRPr="001759ED" w:rsidRDefault="001759ED" w:rsidP="001759ED">
            <w:pPr>
              <w:pStyle w:val="TAH"/>
              <w:rPr>
                <w:rFonts w:cs="v5.0.0"/>
                <w:b w:val="0"/>
              </w:rPr>
            </w:pPr>
          </w:p>
        </w:tc>
        <w:tc>
          <w:tcPr>
            <w:tcW w:w="912" w:type="dxa"/>
            <w:vMerge/>
          </w:tcPr>
          <w:p w14:paraId="71D9EB1F" w14:textId="77777777" w:rsidR="001759ED" w:rsidRPr="001759ED" w:rsidRDefault="001759ED" w:rsidP="001759ED">
            <w:pPr>
              <w:pStyle w:val="TAH"/>
              <w:rPr>
                <w:rFonts w:cs="v5.0.0"/>
                <w:b w:val="0"/>
              </w:rPr>
            </w:pPr>
          </w:p>
        </w:tc>
      </w:tr>
      <w:tr w:rsidR="001759ED" w:rsidRPr="001E2D04" w14:paraId="0E2BFFA4" w14:textId="77777777" w:rsidTr="005847BA">
        <w:trPr>
          <w:cantSplit/>
          <w:jc w:val="center"/>
        </w:trPr>
        <w:tc>
          <w:tcPr>
            <w:tcW w:w="1693" w:type="dxa"/>
            <w:vMerge/>
          </w:tcPr>
          <w:p w14:paraId="4D7B87D0" w14:textId="77777777" w:rsidR="001759ED" w:rsidRDefault="001759ED" w:rsidP="001759ED">
            <w:pPr>
              <w:pStyle w:val="TAH"/>
              <w:rPr>
                <w:rFonts w:eastAsia="SimSun" w:cs="v5.0.0"/>
                <w:b w:val="0"/>
              </w:rPr>
            </w:pPr>
          </w:p>
        </w:tc>
        <w:tc>
          <w:tcPr>
            <w:tcW w:w="2268" w:type="dxa"/>
            <w:vMerge/>
          </w:tcPr>
          <w:p w14:paraId="1716187F" w14:textId="77777777" w:rsidR="001759ED" w:rsidRPr="00CB6FE2" w:rsidRDefault="001759ED" w:rsidP="001759ED">
            <w:pPr>
              <w:pStyle w:val="TAH"/>
              <w:rPr>
                <w:rFonts w:cs="v5.0.0"/>
                <w:b w:val="0"/>
              </w:rPr>
            </w:pPr>
          </w:p>
        </w:tc>
        <w:tc>
          <w:tcPr>
            <w:tcW w:w="1134" w:type="dxa"/>
          </w:tcPr>
          <w:p w14:paraId="4FE11D32" w14:textId="7E6FBFF3" w:rsidR="001759ED" w:rsidRPr="001759ED" w:rsidRDefault="001759ED" w:rsidP="001759ED">
            <w:pPr>
              <w:pStyle w:val="TAH"/>
              <w:rPr>
                <w:rFonts w:cs="v5.0.0"/>
                <w:b w:val="0"/>
              </w:rPr>
            </w:pPr>
            <w:r>
              <w:rPr>
                <w:rFonts w:cs="v5.0.0"/>
                <w:b w:val="0"/>
              </w:rPr>
              <w:t>60</w:t>
            </w:r>
          </w:p>
        </w:tc>
        <w:tc>
          <w:tcPr>
            <w:tcW w:w="1418" w:type="dxa"/>
          </w:tcPr>
          <w:p w14:paraId="45B6831F" w14:textId="50809BB9" w:rsidR="001759ED" w:rsidRPr="001759ED" w:rsidRDefault="001759ED" w:rsidP="001759ED">
            <w:pPr>
              <w:pStyle w:val="TAH"/>
              <w:rPr>
                <w:rFonts w:cs="v5.0.0"/>
                <w:b w:val="0"/>
              </w:rPr>
            </w:pPr>
            <w:r w:rsidRPr="001759ED">
              <w:rPr>
                <w:b w:val="0"/>
              </w:rPr>
              <w:t>46.8 MHz</w:t>
            </w:r>
          </w:p>
        </w:tc>
        <w:tc>
          <w:tcPr>
            <w:tcW w:w="2008" w:type="dxa"/>
            <w:vMerge/>
          </w:tcPr>
          <w:p w14:paraId="05D124F1" w14:textId="77777777" w:rsidR="001759ED" w:rsidRPr="001759ED" w:rsidRDefault="001759ED" w:rsidP="001759ED">
            <w:pPr>
              <w:pStyle w:val="TAH"/>
              <w:rPr>
                <w:rFonts w:cs="v5.0.0"/>
                <w:b w:val="0"/>
              </w:rPr>
            </w:pPr>
          </w:p>
        </w:tc>
        <w:tc>
          <w:tcPr>
            <w:tcW w:w="912" w:type="dxa"/>
            <w:vMerge/>
          </w:tcPr>
          <w:p w14:paraId="4382DB83" w14:textId="77777777" w:rsidR="001759ED" w:rsidRPr="001759ED" w:rsidRDefault="001759ED" w:rsidP="001759ED">
            <w:pPr>
              <w:pStyle w:val="TAH"/>
              <w:rPr>
                <w:rFonts w:cs="v5.0.0"/>
                <w:b w:val="0"/>
              </w:rPr>
            </w:pPr>
          </w:p>
        </w:tc>
      </w:tr>
    </w:tbl>
    <w:p w14:paraId="31AC4483" w14:textId="5AD7925C" w:rsidR="00CB6FE2" w:rsidRDefault="00CB6FE2" w:rsidP="00E05F90">
      <w:pPr>
        <w:rPr>
          <w:sz w:val="22"/>
          <w:szCs w:val="22"/>
        </w:rPr>
      </w:pPr>
    </w:p>
    <w:p w14:paraId="1B16C265" w14:textId="63F819F1" w:rsidR="001759ED" w:rsidRDefault="001759ED" w:rsidP="00E05F90">
      <w:pPr>
        <w:rPr>
          <w:sz w:val="22"/>
          <w:szCs w:val="22"/>
        </w:rPr>
      </w:pPr>
      <w:r>
        <w:rPr>
          <w:sz w:val="22"/>
          <w:szCs w:val="22"/>
        </w:rPr>
        <w:t>We observe the following:</w:t>
      </w:r>
    </w:p>
    <w:p w14:paraId="40082D6F" w14:textId="2FB4E6CF" w:rsidR="001759ED" w:rsidRPr="004C6947" w:rsidRDefault="001759ED" w:rsidP="00E05F90">
      <w:pPr>
        <w:rPr>
          <w:sz w:val="22"/>
          <w:szCs w:val="22"/>
        </w:rPr>
      </w:pPr>
      <w:r w:rsidRPr="001759ED">
        <w:rPr>
          <w:b/>
          <w:i/>
          <w:sz w:val="22"/>
          <w:szCs w:val="22"/>
        </w:rPr>
        <w:t xml:space="preserve">Observation: when a BS supports all three subcarrier spacing in any carrier, then the three above test are equivalent to option 1. </w:t>
      </w:r>
    </w:p>
    <w:p w14:paraId="2D2EDBFF" w14:textId="4A076CD0" w:rsidR="004C6947" w:rsidRDefault="004C6947" w:rsidP="00E05F90">
      <w:pPr>
        <w:rPr>
          <w:sz w:val="22"/>
          <w:szCs w:val="22"/>
        </w:rPr>
      </w:pPr>
      <w:r w:rsidRPr="004C6947">
        <w:rPr>
          <w:sz w:val="22"/>
          <w:szCs w:val="22"/>
        </w:rPr>
        <w:t xml:space="preserve">The way forward also includes an investigation point that: </w:t>
      </w:r>
      <w:r>
        <w:rPr>
          <w:sz w:val="22"/>
          <w:szCs w:val="22"/>
        </w:rPr>
        <w:t>“</w:t>
      </w:r>
      <w:r w:rsidRPr="004C6947">
        <w:rPr>
          <w:sz w:val="22"/>
          <w:szCs w:val="22"/>
        </w:rPr>
        <w:t>Investigate whether co-existence is guaranteed or not with adjacent channel which uses smaller SCS than own one.</w:t>
      </w:r>
      <w:r>
        <w:rPr>
          <w:sz w:val="22"/>
          <w:szCs w:val="22"/>
        </w:rPr>
        <w:t>”</w:t>
      </w:r>
    </w:p>
    <w:p w14:paraId="2BE6BFEC" w14:textId="70887DC9" w:rsidR="004C6947" w:rsidRPr="004C6947" w:rsidRDefault="004C6947" w:rsidP="00E05F90">
      <w:pPr>
        <w:rPr>
          <w:sz w:val="22"/>
          <w:szCs w:val="22"/>
        </w:rPr>
      </w:pPr>
      <w:r>
        <w:rPr>
          <w:sz w:val="22"/>
          <w:szCs w:val="22"/>
        </w:rPr>
        <w:t xml:space="preserve">It is highly likely that, if only one subcarrier spacing is supported, then 15kHz is supported. Thus, the test for 15kHz case will test the most stringent adjacent channel measurement bandwidth case. Thus, it is our understanding that, if we test above three cases, then all the test cases will be investigated for the carrier. </w:t>
      </w:r>
    </w:p>
    <w:p w14:paraId="17A7C60F" w14:textId="79607A35" w:rsidR="00D04BC4" w:rsidRDefault="004B470C" w:rsidP="00C01F33">
      <w:pPr>
        <w:pStyle w:val="Heading1"/>
        <w:rPr>
          <w:lang w:val="en-US"/>
        </w:rPr>
      </w:pPr>
      <w:r>
        <w:rPr>
          <w:lang w:val="en-US"/>
        </w:rPr>
        <w:t>Proposal</w:t>
      </w:r>
    </w:p>
    <w:p w14:paraId="6791B81B" w14:textId="77777777" w:rsidR="00E05F90" w:rsidRDefault="00E05F90" w:rsidP="008C1D78">
      <w:pPr>
        <w:rPr>
          <w:lang w:val="en-US"/>
        </w:rPr>
      </w:pPr>
      <w:r>
        <w:rPr>
          <w:lang w:val="en-US"/>
        </w:rPr>
        <w:t xml:space="preserve">Based on the above discussions, we propose the following: </w:t>
      </w:r>
    </w:p>
    <w:p w14:paraId="5E31A85C" w14:textId="7C38B705" w:rsidR="00FC677A" w:rsidRPr="00FC677A" w:rsidRDefault="00E05F90" w:rsidP="0045248C">
      <w:pPr>
        <w:rPr>
          <w:b/>
          <w:i/>
          <w:lang w:val="en-US"/>
        </w:rPr>
      </w:pPr>
      <w:r w:rsidRPr="00E05F90">
        <w:rPr>
          <w:b/>
          <w:i/>
          <w:lang w:val="en-US"/>
        </w:rPr>
        <w:t>Proposal:</w:t>
      </w:r>
      <w:r w:rsidR="00FC677A" w:rsidRPr="00FC677A">
        <w:rPr>
          <w:b/>
          <w:i/>
          <w:lang w:val="en-US"/>
        </w:rPr>
        <w:t xml:space="preserve"> </w:t>
      </w:r>
      <w:r w:rsidR="00CB6FE2">
        <w:rPr>
          <w:b/>
          <w:i/>
          <w:lang w:val="en-US"/>
        </w:rPr>
        <w:t xml:space="preserve">For ACLR measurement in NR vs NR case, adopt option 2 of the way forward R4-08855 when measurement </w:t>
      </w:r>
      <w:r w:rsidR="001759ED">
        <w:rPr>
          <w:b/>
          <w:i/>
          <w:lang w:val="en-US"/>
        </w:rPr>
        <w:t>bandwidth</w:t>
      </w:r>
      <w:r w:rsidR="00CB6FE2">
        <w:rPr>
          <w:b/>
          <w:i/>
          <w:lang w:val="en-US"/>
        </w:rPr>
        <w:t xml:space="preserve"> in adjacent channel is considered. </w:t>
      </w:r>
      <w:r w:rsidR="00FC677A" w:rsidRPr="00FC677A">
        <w:rPr>
          <w:b/>
          <w:i/>
          <w:lang w:val="en-US"/>
        </w:rPr>
        <w:t xml:space="preserve"> </w:t>
      </w:r>
    </w:p>
    <w:p w14:paraId="4298A158" w14:textId="77777777" w:rsidR="00F507D1" w:rsidRPr="001363CA" w:rsidRDefault="00F507D1" w:rsidP="00F507D1">
      <w:pPr>
        <w:pStyle w:val="Heading1"/>
        <w:rPr>
          <w:lang w:val="en-US"/>
        </w:rPr>
      </w:pPr>
      <w:bookmarkStart w:id="1" w:name="_In-sequence_SDU_delivery"/>
      <w:bookmarkEnd w:id="1"/>
      <w:r w:rsidRPr="001363CA">
        <w:rPr>
          <w:lang w:val="en-US"/>
        </w:rPr>
        <w:t>References</w:t>
      </w:r>
    </w:p>
    <w:p w14:paraId="36D37417" w14:textId="6CF8353F" w:rsidR="00F96FD8" w:rsidRPr="00F96FD8" w:rsidRDefault="00F96FD8" w:rsidP="00F96FD8">
      <w:pPr>
        <w:pStyle w:val="Reference"/>
        <w:rPr>
          <w:sz w:val="22"/>
          <w:szCs w:val="22"/>
        </w:rPr>
      </w:pPr>
      <w:bookmarkStart w:id="2" w:name="_Ref492553757"/>
      <w:bookmarkStart w:id="3" w:name="_Ref492551837"/>
      <w:bookmarkStart w:id="4" w:name="_Ref476840310"/>
      <w:bookmarkStart w:id="5" w:name="_Ref481740434"/>
      <w:r w:rsidRPr="00F96FD8">
        <w:rPr>
          <w:sz w:val="22"/>
          <w:szCs w:val="22"/>
        </w:rPr>
        <w:t>R4-1708855</w:t>
      </w:r>
      <w:r>
        <w:rPr>
          <w:sz w:val="22"/>
          <w:szCs w:val="22"/>
        </w:rPr>
        <w:t xml:space="preserve"> WF on BS ACLR for NR sub 6 GHz, </w:t>
      </w:r>
      <w:r w:rsidRPr="00F96FD8">
        <w:rPr>
          <w:sz w:val="22"/>
          <w:szCs w:val="22"/>
        </w:rPr>
        <w:t>NTT DoCoMo</w:t>
      </w:r>
      <w:bookmarkEnd w:id="2"/>
    </w:p>
    <w:bookmarkEnd w:id="3"/>
    <w:bookmarkEnd w:id="4"/>
    <w:bookmarkEnd w:id="5"/>
    <w:p w14:paraId="6DF1A4B7" w14:textId="77777777" w:rsidR="008B14C9" w:rsidRPr="004F2915" w:rsidRDefault="008B14C9" w:rsidP="004F2915">
      <w:pPr>
        <w:pStyle w:val="Reference"/>
        <w:numPr>
          <w:ilvl w:val="0"/>
          <w:numId w:val="0"/>
        </w:numPr>
        <w:ind w:left="567" w:hanging="567"/>
        <w:rPr>
          <w:sz w:val="22"/>
          <w:szCs w:val="22"/>
        </w:rPr>
      </w:pPr>
    </w:p>
    <w:sectPr w:rsidR="008B14C9" w:rsidRPr="004F2915">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6F7DA" w14:textId="77777777" w:rsidR="000B1E36" w:rsidRDefault="000B1E36">
      <w:r>
        <w:separator/>
      </w:r>
    </w:p>
  </w:endnote>
  <w:endnote w:type="continuationSeparator" w:id="0">
    <w:p w14:paraId="6A61B897" w14:textId="77777777" w:rsidR="000B1E36" w:rsidRDefault="000B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F63D5" w14:textId="1C8F2035"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727D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727D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87A0D3" w14:textId="77777777" w:rsidR="000B1E36" w:rsidRDefault="000B1E36">
      <w:r>
        <w:separator/>
      </w:r>
    </w:p>
  </w:footnote>
  <w:footnote w:type="continuationSeparator" w:id="0">
    <w:p w14:paraId="0B079EB8" w14:textId="77777777" w:rsidR="000B1E36" w:rsidRDefault="000B1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141C1" w14:textId="77777777"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102D85"/>
    <w:multiLevelType w:val="hybridMultilevel"/>
    <w:tmpl w:val="28349FCA"/>
    <w:lvl w:ilvl="0" w:tplc="45A40376">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2E20B2B"/>
    <w:multiLevelType w:val="hybridMultilevel"/>
    <w:tmpl w:val="3EFEF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8E8276B"/>
    <w:multiLevelType w:val="hybridMultilevel"/>
    <w:tmpl w:val="00BA44D4"/>
    <w:lvl w:ilvl="0" w:tplc="DF648588">
      <w:start w:val="1"/>
      <w:numFmt w:val="bullet"/>
      <w:lvlText w:val="•"/>
      <w:lvlJc w:val="left"/>
      <w:pPr>
        <w:tabs>
          <w:tab w:val="num" w:pos="720"/>
        </w:tabs>
        <w:ind w:left="720" w:hanging="360"/>
      </w:pPr>
      <w:rPr>
        <w:rFonts w:ascii="Arial" w:hAnsi="Arial" w:hint="default"/>
      </w:rPr>
    </w:lvl>
    <w:lvl w:ilvl="1" w:tplc="1D9ADF96" w:tentative="1">
      <w:start w:val="1"/>
      <w:numFmt w:val="bullet"/>
      <w:lvlText w:val="•"/>
      <w:lvlJc w:val="left"/>
      <w:pPr>
        <w:tabs>
          <w:tab w:val="num" w:pos="1440"/>
        </w:tabs>
        <w:ind w:left="1440" w:hanging="360"/>
      </w:pPr>
      <w:rPr>
        <w:rFonts w:ascii="Arial" w:hAnsi="Arial" w:hint="default"/>
      </w:rPr>
    </w:lvl>
    <w:lvl w:ilvl="2" w:tplc="FDBCD920" w:tentative="1">
      <w:start w:val="1"/>
      <w:numFmt w:val="bullet"/>
      <w:lvlText w:val="•"/>
      <w:lvlJc w:val="left"/>
      <w:pPr>
        <w:tabs>
          <w:tab w:val="num" w:pos="2160"/>
        </w:tabs>
        <w:ind w:left="2160" w:hanging="360"/>
      </w:pPr>
      <w:rPr>
        <w:rFonts w:ascii="Arial" w:hAnsi="Arial" w:hint="default"/>
      </w:rPr>
    </w:lvl>
    <w:lvl w:ilvl="3" w:tplc="21DC4918" w:tentative="1">
      <w:start w:val="1"/>
      <w:numFmt w:val="bullet"/>
      <w:lvlText w:val="•"/>
      <w:lvlJc w:val="left"/>
      <w:pPr>
        <w:tabs>
          <w:tab w:val="num" w:pos="2880"/>
        </w:tabs>
        <w:ind w:left="2880" w:hanging="360"/>
      </w:pPr>
      <w:rPr>
        <w:rFonts w:ascii="Arial" w:hAnsi="Arial" w:hint="default"/>
      </w:rPr>
    </w:lvl>
    <w:lvl w:ilvl="4" w:tplc="6A0CAB56" w:tentative="1">
      <w:start w:val="1"/>
      <w:numFmt w:val="bullet"/>
      <w:lvlText w:val="•"/>
      <w:lvlJc w:val="left"/>
      <w:pPr>
        <w:tabs>
          <w:tab w:val="num" w:pos="3600"/>
        </w:tabs>
        <w:ind w:left="3600" w:hanging="360"/>
      </w:pPr>
      <w:rPr>
        <w:rFonts w:ascii="Arial" w:hAnsi="Arial" w:hint="default"/>
      </w:rPr>
    </w:lvl>
    <w:lvl w:ilvl="5" w:tplc="B76C62DC" w:tentative="1">
      <w:start w:val="1"/>
      <w:numFmt w:val="bullet"/>
      <w:lvlText w:val="•"/>
      <w:lvlJc w:val="left"/>
      <w:pPr>
        <w:tabs>
          <w:tab w:val="num" w:pos="4320"/>
        </w:tabs>
        <w:ind w:left="4320" w:hanging="360"/>
      </w:pPr>
      <w:rPr>
        <w:rFonts w:ascii="Arial" w:hAnsi="Arial" w:hint="default"/>
      </w:rPr>
    </w:lvl>
    <w:lvl w:ilvl="6" w:tplc="0278061C" w:tentative="1">
      <w:start w:val="1"/>
      <w:numFmt w:val="bullet"/>
      <w:lvlText w:val="•"/>
      <w:lvlJc w:val="left"/>
      <w:pPr>
        <w:tabs>
          <w:tab w:val="num" w:pos="5040"/>
        </w:tabs>
        <w:ind w:left="5040" w:hanging="360"/>
      </w:pPr>
      <w:rPr>
        <w:rFonts w:ascii="Arial" w:hAnsi="Arial" w:hint="default"/>
      </w:rPr>
    </w:lvl>
    <w:lvl w:ilvl="7" w:tplc="CDB430B8" w:tentative="1">
      <w:start w:val="1"/>
      <w:numFmt w:val="bullet"/>
      <w:lvlText w:val="•"/>
      <w:lvlJc w:val="left"/>
      <w:pPr>
        <w:tabs>
          <w:tab w:val="num" w:pos="5760"/>
        </w:tabs>
        <w:ind w:left="5760" w:hanging="360"/>
      </w:pPr>
      <w:rPr>
        <w:rFonts w:ascii="Arial" w:hAnsi="Arial" w:hint="default"/>
      </w:rPr>
    </w:lvl>
    <w:lvl w:ilvl="8" w:tplc="4E8A80C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306C32"/>
    <w:multiLevelType w:val="hybridMultilevel"/>
    <w:tmpl w:val="EE76DE3C"/>
    <w:lvl w:ilvl="0" w:tplc="6562FA94">
      <w:start w:val="1"/>
      <w:numFmt w:val="bullet"/>
      <w:lvlText w:val="•"/>
      <w:lvlJc w:val="left"/>
      <w:pPr>
        <w:tabs>
          <w:tab w:val="num" w:pos="720"/>
        </w:tabs>
        <w:ind w:left="720" w:hanging="360"/>
      </w:pPr>
      <w:rPr>
        <w:rFonts w:ascii="Arial" w:hAnsi="Arial" w:hint="default"/>
      </w:rPr>
    </w:lvl>
    <w:lvl w:ilvl="1" w:tplc="CB26FDA0">
      <w:numFmt w:val="bullet"/>
      <w:lvlText w:val="–"/>
      <w:lvlJc w:val="left"/>
      <w:pPr>
        <w:tabs>
          <w:tab w:val="num" w:pos="1440"/>
        </w:tabs>
        <w:ind w:left="1440" w:hanging="360"/>
      </w:pPr>
      <w:rPr>
        <w:rFonts w:ascii="Arial" w:hAnsi="Arial" w:hint="default"/>
      </w:rPr>
    </w:lvl>
    <w:lvl w:ilvl="2" w:tplc="B04849C4">
      <w:numFmt w:val="bullet"/>
      <w:lvlText w:val="•"/>
      <w:lvlJc w:val="left"/>
      <w:pPr>
        <w:tabs>
          <w:tab w:val="num" w:pos="2160"/>
        </w:tabs>
        <w:ind w:left="2160" w:hanging="360"/>
      </w:pPr>
      <w:rPr>
        <w:rFonts w:ascii="Arial" w:hAnsi="Arial" w:hint="default"/>
      </w:rPr>
    </w:lvl>
    <w:lvl w:ilvl="3" w:tplc="48C06444" w:tentative="1">
      <w:start w:val="1"/>
      <w:numFmt w:val="bullet"/>
      <w:lvlText w:val="•"/>
      <w:lvlJc w:val="left"/>
      <w:pPr>
        <w:tabs>
          <w:tab w:val="num" w:pos="2880"/>
        </w:tabs>
        <w:ind w:left="2880" w:hanging="360"/>
      </w:pPr>
      <w:rPr>
        <w:rFonts w:ascii="Arial" w:hAnsi="Arial" w:hint="default"/>
      </w:rPr>
    </w:lvl>
    <w:lvl w:ilvl="4" w:tplc="F41438BA" w:tentative="1">
      <w:start w:val="1"/>
      <w:numFmt w:val="bullet"/>
      <w:lvlText w:val="•"/>
      <w:lvlJc w:val="left"/>
      <w:pPr>
        <w:tabs>
          <w:tab w:val="num" w:pos="3600"/>
        </w:tabs>
        <w:ind w:left="3600" w:hanging="360"/>
      </w:pPr>
      <w:rPr>
        <w:rFonts w:ascii="Arial" w:hAnsi="Arial" w:hint="default"/>
      </w:rPr>
    </w:lvl>
    <w:lvl w:ilvl="5" w:tplc="997A43AA" w:tentative="1">
      <w:start w:val="1"/>
      <w:numFmt w:val="bullet"/>
      <w:lvlText w:val="•"/>
      <w:lvlJc w:val="left"/>
      <w:pPr>
        <w:tabs>
          <w:tab w:val="num" w:pos="4320"/>
        </w:tabs>
        <w:ind w:left="4320" w:hanging="360"/>
      </w:pPr>
      <w:rPr>
        <w:rFonts w:ascii="Arial" w:hAnsi="Arial" w:hint="default"/>
      </w:rPr>
    </w:lvl>
    <w:lvl w:ilvl="6" w:tplc="49BE6AC2" w:tentative="1">
      <w:start w:val="1"/>
      <w:numFmt w:val="bullet"/>
      <w:lvlText w:val="•"/>
      <w:lvlJc w:val="left"/>
      <w:pPr>
        <w:tabs>
          <w:tab w:val="num" w:pos="5040"/>
        </w:tabs>
        <w:ind w:left="5040" w:hanging="360"/>
      </w:pPr>
      <w:rPr>
        <w:rFonts w:ascii="Arial" w:hAnsi="Arial" w:hint="default"/>
      </w:rPr>
    </w:lvl>
    <w:lvl w:ilvl="7" w:tplc="0EB22484" w:tentative="1">
      <w:start w:val="1"/>
      <w:numFmt w:val="bullet"/>
      <w:lvlText w:val="•"/>
      <w:lvlJc w:val="left"/>
      <w:pPr>
        <w:tabs>
          <w:tab w:val="num" w:pos="5760"/>
        </w:tabs>
        <w:ind w:left="5760" w:hanging="360"/>
      </w:pPr>
      <w:rPr>
        <w:rFonts w:ascii="Arial" w:hAnsi="Arial" w:hint="default"/>
      </w:rPr>
    </w:lvl>
    <w:lvl w:ilvl="8" w:tplc="1F84831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F354C75"/>
    <w:multiLevelType w:val="hybridMultilevel"/>
    <w:tmpl w:val="F22C34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EE72772"/>
    <w:multiLevelType w:val="hybridMultilevel"/>
    <w:tmpl w:val="DE108A12"/>
    <w:lvl w:ilvl="0" w:tplc="68EED498">
      <w:start w:val="1"/>
      <w:numFmt w:val="bullet"/>
      <w:lvlText w:val="•"/>
      <w:lvlJc w:val="left"/>
      <w:pPr>
        <w:tabs>
          <w:tab w:val="num" w:pos="720"/>
        </w:tabs>
        <w:ind w:left="720" w:hanging="360"/>
      </w:pPr>
      <w:rPr>
        <w:rFonts w:ascii="Arial" w:hAnsi="Arial" w:hint="default"/>
      </w:rPr>
    </w:lvl>
    <w:lvl w:ilvl="1" w:tplc="548AC0EC">
      <w:numFmt w:val="bullet"/>
      <w:lvlText w:val="–"/>
      <w:lvlJc w:val="left"/>
      <w:pPr>
        <w:tabs>
          <w:tab w:val="num" w:pos="1440"/>
        </w:tabs>
        <w:ind w:left="1440" w:hanging="360"/>
      </w:pPr>
      <w:rPr>
        <w:rFonts w:ascii="Arial" w:hAnsi="Arial" w:hint="default"/>
      </w:rPr>
    </w:lvl>
    <w:lvl w:ilvl="2" w:tplc="CBF04F0A" w:tentative="1">
      <w:start w:val="1"/>
      <w:numFmt w:val="bullet"/>
      <w:lvlText w:val="•"/>
      <w:lvlJc w:val="left"/>
      <w:pPr>
        <w:tabs>
          <w:tab w:val="num" w:pos="2160"/>
        </w:tabs>
        <w:ind w:left="2160" w:hanging="360"/>
      </w:pPr>
      <w:rPr>
        <w:rFonts w:ascii="Arial" w:hAnsi="Arial" w:hint="default"/>
      </w:rPr>
    </w:lvl>
    <w:lvl w:ilvl="3" w:tplc="9BC6A4C8" w:tentative="1">
      <w:start w:val="1"/>
      <w:numFmt w:val="bullet"/>
      <w:lvlText w:val="•"/>
      <w:lvlJc w:val="left"/>
      <w:pPr>
        <w:tabs>
          <w:tab w:val="num" w:pos="2880"/>
        </w:tabs>
        <w:ind w:left="2880" w:hanging="360"/>
      </w:pPr>
      <w:rPr>
        <w:rFonts w:ascii="Arial" w:hAnsi="Arial" w:hint="default"/>
      </w:rPr>
    </w:lvl>
    <w:lvl w:ilvl="4" w:tplc="028E4780" w:tentative="1">
      <w:start w:val="1"/>
      <w:numFmt w:val="bullet"/>
      <w:lvlText w:val="•"/>
      <w:lvlJc w:val="left"/>
      <w:pPr>
        <w:tabs>
          <w:tab w:val="num" w:pos="3600"/>
        </w:tabs>
        <w:ind w:left="3600" w:hanging="360"/>
      </w:pPr>
      <w:rPr>
        <w:rFonts w:ascii="Arial" w:hAnsi="Arial" w:hint="default"/>
      </w:rPr>
    </w:lvl>
    <w:lvl w:ilvl="5" w:tplc="4508BA8A" w:tentative="1">
      <w:start w:val="1"/>
      <w:numFmt w:val="bullet"/>
      <w:lvlText w:val="•"/>
      <w:lvlJc w:val="left"/>
      <w:pPr>
        <w:tabs>
          <w:tab w:val="num" w:pos="4320"/>
        </w:tabs>
        <w:ind w:left="4320" w:hanging="360"/>
      </w:pPr>
      <w:rPr>
        <w:rFonts w:ascii="Arial" w:hAnsi="Arial" w:hint="default"/>
      </w:rPr>
    </w:lvl>
    <w:lvl w:ilvl="6" w:tplc="C6DA3060" w:tentative="1">
      <w:start w:val="1"/>
      <w:numFmt w:val="bullet"/>
      <w:lvlText w:val="•"/>
      <w:lvlJc w:val="left"/>
      <w:pPr>
        <w:tabs>
          <w:tab w:val="num" w:pos="5040"/>
        </w:tabs>
        <w:ind w:left="5040" w:hanging="360"/>
      </w:pPr>
      <w:rPr>
        <w:rFonts w:ascii="Arial" w:hAnsi="Arial" w:hint="default"/>
      </w:rPr>
    </w:lvl>
    <w:lvl w:ilvl="7" w:tplc="518CCEDC" w:tentative="1">
      <w:start w:val="1"/>
      <w:numFmt w:val="bullet"/>
      <w:lvlText w:val="•"/>
      <w:lvlJc w:val="left"/>
      <w:pPr>
        <w:tabs>
          <w:tab w:val="num" w:pos="5760"/>
        </w:tabs>
        <w:ind w:left="5760" w:hanging="360"/>
      </w:pPr>
      <w:rPr>
        <w:rFonts w:ascii="Arial" w:hAnsi="Arial" w:hint="default"/>
      </w:rPr>
    </w:lvl>
    <w:lvl w:ilvl="8" w:tplc="89AE6C6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52250E6"/>
    <w:multiLevelType w:val="hybridMultilevel"/>
    <w:tmpl w:val="B7664B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71B7BFA"/>
    <w:multiLevelType w:val="hybridMultilevel"/>
    <w:tmpl w:val="E5DCD2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5575FAE"/>
    <w:multiLevelType w:val="hybridMultilevel"/>
    <w:tmpl w:val="CD40C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9406A88"/>
    <w:multiLevelType w:val="hybridMultilevel"/>
    <w:tmpl w:val="8048E9AA"/>
    <w:lvl w:ilvl="0" w:tplc="5E88DEC4">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33"/>
  </w:num>
  <w:num w:numId="3">
    <w:abstractNumId w:val="28"/>
  </w:num>
  <w:num w:numId="4">
    <w:abstractNumId w:val="29"/>
  </w:num>
  <w:num w:numId="5">
    <w:abstractNumId w:val="22"/>
  </w:num>
  <w:num w:numId="6">
    <w:abstractNumId w:val="31"/>
  </w:num>
  <w:num w:numId="7">
    <w:abstractNumId w:val="38"/>
  </w:num>
  <w:num w:numId="8">
    <w:abstractNumId w:val="23"/>
  </w:num>
  <w:num w:numId="9">
    <w:abstractNumId w:val="17"/>
  </w:num>
  <w:num w:numId="10">
    <w:abstractNumId w:val="15"/>
  </w:num>
  <w:num w:numId="11">
    <w:abstractNumId w:val="16"/>
  </w:num>
  <w:num w:numId="12">
    <w:abstractNumId w:val="24"/>
  </w:num>
  <w:num w:numId="13">
    <w:abstractNumId w:val="25"/>
  </w:num>
  <w:num w:numId="14">
    <w:abstractNumId w:val="12"/>
  </w:num>
  <w:num w:numId="15">
    <w:abstractNumId w:val="19"/>
  </w:num>
  <w:num w:numId="16">
    <w:abstractNumId w:val="40"/>
  </w:num>
  <w:num w:numId="17">
    <w:abstractNumId w:val="41"/>
  </w:num>
  <w:num w:numId="18">
    <w:abstractNumId w:val="46"/>
  </w:num>
  <w:num w:numId="19">
    <w:abstractNumId w:val="39"/>
  </w:num>
  <w:num w:numId="20">
    <w:abstractNumId w:val="26"/>
  </w:num>
  <w:num w:numId="21">
    <w:abstractNumId w:val="37"/>
  </w:num>
  <w:num w:numId="22">
    <w:abstractNumId w:val="30"/>
  </w:num>
  <w:num w:numId="23">
    <w:abstractNumId w:val="11"/>
  </w:num>
  <w:num w:numId="24">
    <w:abstractNumId w:val="47"/>
  </w:num>
  <w:num w:numId="25">
    <w:abstractNumId w:val="10"/>
  </w:num>
  <w:num w:numId="26">
    <w:abstractNumId w:val="32"/>
  </w:num>
  <w:num w:numId="27">
    <w:abstractNumId w:val="27"/>
  </w:num>
  <w:num w:numId="28">
    <w:abstractNumId w:val="7"/>
  </w:num>
  <w:num w:numId="29">
    <w:abstractNumId w:val="20"/>
  </w:num>
  <w:num w:numId="30">
    <w:abstractNumId w:val="2"/>
  </w:num>
  <w:num w:numId="31">
    <w:abstractNumId w:val="1"/>
  </w:num>
  <w:num w:numId="32">
    <w:abstractNumId w:val="0"/>
  </w:num>
  <w:num w:numId="33">
    <w:abstractNumId w:val="5"/>
  </w:num>
  <w:num w:numId="34">
    <w:abstractNumId w:val="43"/>
  </w:num>
  <w:num w:numId="35">
    <w:abstractNumId w:val="33"/>
  </w:num>
  <w:num w:numId="36">
    <w:abstractNumId w:val="48"/>
  </w:num>
  <w:num w:numId="37">
    <w:abstractNumId w:val="18"/>
  </w:num>
  <w:num w:numId="38">
    <w:abstractNumId w:val="42"/>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6"/>
  </w:num>
  <w:num w:numId="41">
    <w:abstractNumId w:val="44"/>
  </w:num>
  <w:num w:numId="42">
    <w:abstractNumId w:val="8"/>
  </w:num>
  <w:num w:numId="43">
    <w:abstractNumId w:val="9"/>
  </w:num>
  <w:num w:numId="44">
    <w:abstractNumId w:val="21"/>
  </w:num>
  <w:num w:numId="45">
    <w:abstractNumId w:val="45"/>
  </w:num>
  <w:num w:numId="46">
    <w:abstractNumId w:val="35"/>
  </w:num>
  <w:num w:numId="47">
    <w:abstractNumId w:val="6"/>
  </w:num>
  <w:num w:numId="48">
    <w:abstractNumId w:val="34"/>
  </w:num>
  <w:num w:numId="49">
    <w:abstractNumId w:val="13"/>
  </w:num>
  <w:num w:numId="5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274"/>
    <w:rsid w:val="000006E1"/>
    <w:rsid w:val="00002A37"/>
    <w:rsid w:val="00006446"/>
    <w:rsid w:val="00006896"/>
    <w:rsid w:val="00006C3D"/>
    <w:rsid w:val="00007CDC"/>
    <w:rsid w:val="00011B28"/>
    <w:rsid w:val="000145BF"/>
    <w:rsid w:val="00015D15"/>
    <w:rsid w:val="00022DAC"/>
    <w:rsid w:val="000241AC"/>
    <w:rsid w:val="0002505E"/>
    <w:rsid w:val="0002564D"/>
    <w:rsid w:val="00025ECA"/>
    <w:rsid w:val="000260B5"/>
    <w:rsid w:val="000325B8"/>
    <w:rsid w:val="00034C15"/>
    <w:rsid w:val="00036BA1"/>
    <w:rsid w:val="000371DC"/>
    <w:rsid w:val="000422E2"/>
    <w:rsid w:val="00042EF7"/>
    <w:rsid w:val="00042F22"/>
    <w:rsid w:val="000444EF"/>
    <w:rsid w:val="00047139"/>
    <w:rsid w:val="00052A07"/>
    <w:rsid w:val="000534E3"/>
    <w:rsid w:val="0005606A"/>
    <w:rsid w:val="00056FB2"/>
    <w:rsid w:val="00057117"/>
    <w:rsid w:val="0005798F"/>
    <w:rsid w:val="000616E7"/>
    <w:rsid w:val="00064164"/>
    <w:rsid w:val="0006487E"/>
    <w:rsid w:val="00065D5B"/>
    <w:rsid w:val="00065E1A"/>
    <w:rsid w:val="00067508"/>
    <w:rsid w:val="00077E5F"/>
    <w:rsid w:val="0008036A"/>
    <w:rsid w:val="00081AE6"/>
    <w:rsid w:val="000821E7"/>
    <w:rsid w:val="000855EB"/>
    <w:rsid w:val="00085B52"/>
    <w:rsid w:val="000866F2"/>
    <w:rsid w:val="0009009F"/>
    <w:rsid w:val="00090658"/>
    <w:rsid w:val="0009119F"/>
    <w:rsid w:val="00091557"/>
    <w:rsid w:val="000924C1"/>
    <w:rsid w:val="000924F0"/>
    <w:rsid w:val="00093474"/>
    <w:rsid w:val="0009414C"/>
    <w:rsid w:val="0009510F"/>
    <w:rsid w:val="000963BD"/>
    <w:rsid w:val="000976E3"/>
    <w:rsid w:val="000A1B7B"/>
    <w:rsid w:val="000A3643"/>
    <w:rsid w:val="000A56F2"/>
    <w:rsid w:val="000A6358"/>
    <w:rsid w:val="000B1E36"/>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2756"/>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4111"/>
    <w:rsid w:val="001153EA"/>
    <w:rsid w:val="00115643"/>
    <w:rsid w:val="00116765"/>
    <w:rsid w:val="001219F5"/>
    <w:rsid w:val="00121A20"/>
    <w:rsid w:val="0012344F"/>
    <w:rsid w:val="0012377F"/>
    <w:rsid w:val="00124314"/>
    <w:rsid w:val="00126B4A"/>
    <w:rsid w:val="0012705A"/>
    <w:rsid w:val="00132647"/>
    <w:rsid w:val="00132FD0"/>
    <w:rsid w:val="001344C0"/>
    <w:rsid w:val="001346FA"/>
    <w:rsid w:val="00135252"/>
    <w:rsid w:val="001363CA"/>
    <w:rsid w:val="00137AB5"/>
    <w:rsid w:val="00137F0B"/>
    <w:rsid w:val="0014013F"/>
    <w:rsid w:val="00141AFE"/>
    <w:rsid w:val="001456AA"/>
    <w:rsid w:val="00150E0C"/>
    <w:rsid w:val="00151E23"/>
    <w:rsid w:val="001526E0"/>
    <w:rsid w:val="00154137"/>
    <w:rsid w:val="001545EF"/>
    <w:rsid w:val="001551B5"/>
    <w:rsid w:val="00160DB7"/>
    <w:rsid w:val="001659C1"/>
    <w:rsid w:val="00166705"/>
    <w:rsid w:val="00173A8E"/>
    <w:rsid w:val="00173EA5"/>
    <w:rsid w:val="00173FDC"/>
    <w:rsid w:val="001759ED"/>
    <w:rsid w:val="001768B3"/>
    <w:rsid w:val="0018143F"/>
    <w:rsid w:val="00184B98"/>
    <w:rsid w:val="00187CAA"/>
    <w:rsid w:val="00190AC1"/>
    <w:rsid w:val="0019341A"/>
    <w:rsid w:val="00197DF9"/>
    <w:rsid w:val="001A1987"/>
    <w:rsid w:val="001A2564"/>
    <w:rsid w:val="001A6173"/>
    <w:rsid w:val="001A6CBA"/>
    <w:rsid w:val="001A76A9"/>
    <w:rsid w:val="001B08B6"/>
    <w:rsid w:val="001B0D97"/>
    <w:rsid w:val="001B5A5D"/>
    <w:rsid w:val="001C0955"/>
    <w:rsid w:val="001C185C"/>
    <w:rsid w:val="001C1CE5"/>
    <w:rsid w:val="001C3027"/>
    <w:rsid w:val="001C3D2A"/>
    <w:rsid w:val="001C4F57"/>
    <w:rsid w:val="001D51BA"/>
    <w:rsid w:val="001D6342"/>
    <w:rsid w:val="001D6D53"/>
    <w:rsid w:val="001D7E2C"/>
    <w:rsid w:val="001E0FD3"/>
    <w:rsid w:val="001E58E2"/>
    <w:rsid w:val="001E5BC3"/>
    <w:rsid w:val="001E7AED"/>
    <w:rsid w:val="001F1573"/>
    <w:rsid w:val="001F3916"/>
    <w:rsid w:val="001F54C5"/>
    <w:rsid w:val="001F662C"/>
    <w:rsid w:val="001F7074"/>
    <w:rsid w:val="00200490"/>
    <w:rsid w:val="00201F3A"/>
    <w:rsid w:val="0020349C"/>
    <w:rsid w:val="00203F96"/>
    <w:rsid w:val="002069B2"/>
    <w:rsid w:val="00206B1C"/>
    <w:rsid w:val="00207FA3"/>
    <w:rsid w:val="00213092"/>
    <w:rsid w:val="00213C9A"/>
    <w:rsid w:val="00214DA8"/>
    <w:rsid w:val="00215423"/>
    <w:rsid w:val="002158FA"/>
    <w:rsid w:val="00220600"/>
    <w:rsid w:val="002224DB"/>
    <w:rsid w:val="002239B1"/>
    <w:rsid w:val="00223FCB"/>
    <w:rsid w:val="002252C3"/>
    <w:rsid w:val="00225C54"/>
    <w:rsid w:val="00226B5B"/>
    <w:rsid w:val="00230765"/>
    <w:rsid w:val="002319E4"/>
    <w:rsid w:val="00235064"/>
    <w:rsid w:val="00235632"/>
    <w:rsid w:val="00235872"/>
    <w:rsid w:val="00236580"/>
    <w:rsid w:val="00236EF8"/>
    <w:rsid w:val="00241559"/>
    <w:rsid w:val="002435B3"/>
    <w:rsid w:val="002458EB"/>
    <w:rsid w:val="002500C8"/>
    <w:rsid w:val="00251CFB"/>
    <w:rsid w:val="00253E53"/>
    <w:rsid w:val="00257543"/>
    <w:rsid w:val="002617E7"/>
    <w:rsid w:val="00264228"/>
    <w:rsid w:val="00264334"/>
    <w:rsid w:val="0026473E"/>
    <w:rsid w:val="00264CD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05D7"/>
    <w:rsid w:val="002C3DFC"/>
    <w:rsid w:val="002C41E6"/>
    <w:rsid w:val="002C7762"/>
    <w:rsid w:val="002D071A"/>
    <w:rsid w:val="002D34B2"/>
    <w:rsid w:val="002D7637"/>
    <w:rsid w:val="002E17F2"/>
    <w:rsid w:val="002E248E"/>
    <w:rsid w:val="002E7CAE"/>
    <w:rsid w:val="002F2771"/>
    <w:rsid w:val="002F37A9"/>
    <w:rsid w:val="002F5073"/>
    <w:rsid w:val="002F62E6"/>
    <w:rsid w:val="002F77F5"/>
    <w:rsid w:val="00301352"/>
    <w:rsid w:val="00301CE6"/>
    <w:rsid w:val="0030256B"/>
    <w:rsid w:val="003038E8"/>
    <w:rsid w:val="00304492"/>
    <w:rsid w:val="0030501F"/>
    <w:rsid w:val="00307BA1"/>
    <w:rsid w:val="00311702"/>
    <w:rsid w:val="00311E82"/>
    <w:rsid w:val="003133BF"/>
    <w:rsid w:val="00313FD6"/>
    <w:rsid w:val="003143BD"/>
    <w:rsid w:val="003203ED"/>
    <w:rsid w:val="00322C9F"/>
    <w:rsid w:val="00324D23"/>
    <w:rsid w:val="0032670E"/>
    <w:rsid w:val="00331751"/>
    <w:rsid w:val="003338DB"/>
    <w:rsid w:val="00334578"/>
    <w:rsid w:val="00334579"/>
    <w:rsid w:val="00335858"/>
    <w:rsid w:val="00336BDA"/>
    <w:rsid w:val="00342BD7"/>
    <w:rsid w:val="0034622A"/>
    <w:rsid w:val="00346DB5"/>
    <w:rsid w:val="003477B1"/>
    <w:rsid w:val="00347BE6"/>
    <w:rsid w:val="003571A4"/>
    <w:rsid w:val="00357380"/>
    <w:rsid w:val="00357F02"/>
    <w:rsid w:val="003602D9"/>
    <w:rsid w:val="003604CE"/>
    <w:rsid w:val="00360580"/>
    <w:rsid w:val="0037009A"/>
    <w:rsid w:val="00370CD0"/>
    <w:rsid w:val="00370E47"/>
    <w:rsid w:val="00371A61"/>
    <w:rsid w:val="003742AC"/>
    <w:rsid w:val="00374A8E"/>
    <w:rsid w:val="00377CE1"/>
    <w:rsid w:val="00385BF0"/>
    <w:rsid w:val="00391E1A"/>
    <w:rsid w:val="003939FF"/>
    <w:rsid w:val="003A2223"/>
    <w:rsid w:val="003A2A0F"/>
    <w:rsid w:val="003A341F"/>
    <w:rsid w:val="003A45A1"/>
    <w:rsid w:val="003A5B0A"/>
    <w:rsid w:val="003A6BAC"/>
    <w:rsid w:val="003A7EF3"/>
    <w:rsid w:val="003B159C"/>
    <w:rsid w:val="003B369F"/>
    <w:rsid w:val="003B36A3"/>
    <w:rsid w:val="003B692C"/>
    <w:rsid w:val="003B7FE5"/>
    <w:rsid w:val="003C11C8"/>
    <w:rsid w:val="003C1DC1"/>
    <w:rsid w:val="003C2702"/>
    <w:rsid w:val="003C2DAB"/>
    <w:rsid w:val="003C7806"/>
    <w:rsid w:val="003D109F"/>
    <w:rsid w:val="003D2478"/>
    <w:rsid w:val="003D5B1F"/>
    <w:rsid w:val="003E15FA"/>
    <w:rsid w:val="003E46A9"/>
    <w:rsid w:val="003E55E4"/>
    <w:rsid w:val="003E74E3"/>
    <w:rsid w:val="003F05C7"/>
    <w:rsid w:val="003F0A21"/>
    <w:rsid w:val="003F2CD4"/>
    <w:rsid w:val="003F6BBE"/>
    <w:rsid w:val="004000E8"/>
    <w:rsid w:val="00401554"/>
    <w:rsid w:val="00402D7E"/>
    <w:rsid w:val="00402E2B"/>
    <w:rsid w:val="0040512B"/>
    <w:rsid w:val="00405CA5"/>
    <w:rsid w:val="00407CD3"/>
    <w:rsid w:val="00410134"/>
    <w:rsid w:val="00410A7F"/>
    <w:rsid w:val="00410B72"/>
    <w:rsid w:val="00410F18"/>
    <w:rsid w:val="0041263E"/>
    <w:rsid w:val="00413AAC"/>
    <w:rsid w:val="00421105"/>
    <w:rsid w:val="00421F94"/>
    <w:rsid w:val="004242F4"/>
    <w:rsid w:val="00427248"/>
    <w:rsid w:val="00435B86"/>
    <w:rsid w:val="00437447"/>
    <w:rsid w:val="00437B5C"/>
    <w:rsid w:val="0044128F"/>
    <w:rsid w:val="00441A92"/>
    <w:rsid w:val="00444F56"/>
    <w:rsid w:val="00446488"/>
    <w:rsid w:val="004517AA"/>
    <w:rsid w:val="0045248C"/>
    <w:rsid w:val="0045259B"/>
    <w:rsid w:val="00452CAC"/>
    <w:rsid w:val="0045372C"/>
    <w:rsid w:val="00457565"/>
    <w:rsid w:val="00457B71"/>
    <w:rsid w:val="004629F7"/>
    <w:rsid w:val="00464ED7"/>
    <w:rsid w:val="004669E2"/>
    <w:rsid w:val="0046781D"/>
    <w:rsid w:val="00470C31"/>
    <w:rsid w:val="004734D0"/>
    <w:rsid w:val="0047515B"/>
    <w:rsid w:val="0047556B"/>
    <w:rsid w:val="00477768"/>
    <w:rsid w:val="00477E6E"/>
    <w:rsid w:val="00481903"/>
    <w:rsid w:val="00485717"/>
    <w:rsid w:val="004874C1"/>
    <w:rsid w:val="00492BC5"/>
    <w:rsid w:val="00493F07"/>
    <w:rsid w:val="004964F1"/>
    <w:rsid w:val="004A16BC"/>
    <w:rsid w:val="004A17D7"/>
    <w:rsid w:val="004A2B94"/>
    <w:rsid w:val="004B450E"/>
    <w:rsid w:val="004B470C"/>
    <w:rsid w:val="004B7C0C"/>
    <w:rsid w:val="004C18BA"/>
    <w:rsid w:val="004C210F"/>
    <w:rsid w:val="004C3898"/>
    <w:rsid w:val="004C6947"/>
    <w:rsid w:val="004C6FF7"/>
    <w:rsid w:val="004D25D8"/>
    <w:rsid w:val="004D36B1"/>
    <w:rsid w:val="004D5851"/>
    <w:rsid w:val="004D7EBD"/>
    <w:rsid w:val="004E2680"/>
    <w:rsid w:val="004E28F9"/>
    <w:rsid w:val="004E462E"/>
    <w:rsid w:val="004E56DC"/>
    <w:rsid w:val="004E76F4"/>
    <w:rsid w:val="004F0B4E"/>
    <w:rsid w:val="004F0B6C"/>
    <w:rsid w:val="004F2078"/>
    <w:rsid w:val="004F2915"/>
    <w:rsid w:val="004F4DA3"/>
    <w:rsid w:val="004F7993"/>
    <w:rsid w:val="0050044D"/>
    <w:rsid w:val="00500AD7"/>
    <w:rsid w:val="00503AFB"/>
    <w:rsid w:val="00506557"/>
    <w:rsid w:val="0050677A"/>
    <w:rsid w:val="005108D8"/>
    <w:rsid w:val="005116F9"/>
    <w:rsid w:val="00512E85"/>
    <w:rsid w:val="005153A7"/>
    <w:rsid w:val="00517BC0"/>
    <w:rsid w:val="005201D0"/>
    <w:rsid w:val="005219CF"/>
    <w:rsid w:val="005270CC"/>
    <w:rsid w:val="00532DAE"/>
    <w:rsid w:val="005342C8"/>
    <w:rsid w:val="00534B59"/>
    <w:rsid w:val="00536759"/>
    <w:rsid w:val="00537C62"/>
    <w:rsid w:val="00546970"/>
    <w:rsid w:val="00550C36"/>
    <w:rsid w:val="00551EA1"/>
    <w:rsid w:val="005536C2"/>
    <w:rsid w:val="005540B9"/>
    <w:rsid w:val="00554E19"/>
    <w:rsid w:val="0056121F"/>
    <w:rsid w:val="00563689"/>
    <w:rsid w:val="00563D22"/>
    <w:rsid w:val="00564471"/>
    <w:rsid w:val="00572505"/>
    <w:rsid w:val="005727DB"/>
    <w:rsid w:val="00582012"/>
    <w:rsid w:val="00582809"/>
    <w:rsid w:val="005835DE"/>
    <w:rsid w:val="00586232"/>
    <w:rsid w:val="00586960"/>
    <w:rsid w:val="00586BCD"/>
    <w:rsid w:val="0058798C"/>
    <w:rsid w:val="005900FA"/>
    <w:rsid w:val="005910C7"/>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47D9"/>
    <w:rsid w:val="005E5B81"/>
    <w:rsid w:val="005E6835"/>
    <w:rsid w:val="005F1AD4"/>
    <w:rsid w:val="005F2CB1"/>
    <w:rsid w:val="005F3057"/>
    <w:rsid w:val="005F5620"/>
    <w:rsid w:val="005F5DB4"/>
    <w:rsid w:val="005F618C"/>
    <w:rsid w:val="005F70BD"/>
    <w:rsid w:val="0060283C"/>
    <w:rsid w:val="00604F14"/>
    <w:rsid w:val="00605C76"/>
    <w:rsid w:val="00611B83"/>
    <w:rsid w:val="00613257"/>
    <w:rsid w:val="00620A71"/>
    <w:rsid w:val="00620D80"/>
    <w:rsid w:val="006234A6"/>
    <w:rsid w:val="00630001"/>
    <w:rsid w:val="006311B3"/>
    <w:rsid w:val="00631B3B"/>
    <w:rsid w:val="0063284C"/>
    <w:rsid w:val="00636398"/>
    <w:rsid w:val="006368D3"/>
    <w:rsid w:val="006377EC"/>
    <w:rsid w:val="00637F26"/>
    <w:rsid w:val="0064151F"/>
    <w:rsid w:val="00641533"/>
    <w:rsid w:val="00641BE4"/>
    <w:rsid w:val="0064208D"/>
    <w:rsid w:val="00643475"/>
    <w:rsid w:val="0064396A"/>
    <w:rsid w:val="0064624E"/>
    <w:rsid w:val="006466D1"/>
    <w:rsid w:val="00650AB9"/>
    <w:rsid w:val="00653D4D"/>
    <w:rsid w:val="00655733"/>
    <w:rsid w:val="00655ACD"/>
    <w:rsid w:val="00655F94"/>
    <w:rsid w:val="00656A92"/>
    <w:rsid w:val="00656DDE"/>
    <w:rsid w:val="0066011D"/>
    <w:rsid w:val="006607C0"/>
    <w:rsid w:val="006613A6"/>
    <w:rsid w:val="00661F2A"/>
    <w:rsid w:val="006627A2"/>
    <w:rsid w:val="006634E6"/>
    <w:rsid w:val="006655EE"/>
    <w:rsid w:val="00667EE7"/>
    <w:rsid w:val="00670922"/>
    <w:rsid w:val="00670BE1"/>
    <w:rsid w:val="00670E6F"/>
    <w:rsid w:val="0067218F"/>
    <w:rsid w:val="006741F2"/>
    <w:rsid w:val="00674CC3"/>
    <w:rsid w:val="00675C72"/>
    <w:rsid w:val="00677155"/>
    <w:rsid w:val="006771F9"/>
    <w:rsid w:val="006776D7"/>
    <w:rsid w:val="00677CB9"/>
    <w:rsid w:val="00681003"/>
    <w:rsid w:val="006817C9"/>
    <w:rsid w:val="00683ECE"/>
    <w:rsid w:val="00692C56"/>
    <w:rsid w:val="006935C1"/>
    <w:rsid w:val="00695FC2"/>
    <w:rsid w:val="00696949"/>
    <w:rsid w:val="00697052"/>
    <w:rsid w:val="006A46FB"/>
    <w:rsid w:val="006A554D"/>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348E"/>
    <w:rsid w:val="00704EDB"/>
    <w:rsid w:val="00706101"/>
    <w:rsid w:val="00707072"/>
    <w:rsid w:val="00707D61"/>
    <w:rsid w:val="00712287"/>
    <w:rsid w:val="00712772"/>
    <w:rsid w:val="007148D3"/>
    <w:rsid w:val="00715B9A"/>
    <w:rsid w:val="00720E9E"/>
    <w:rsid w:val="0072600F"/>
    <w:rsid w:val="00726EA6"/>
    <w:rsid w:val="00727208"/>
    <w:rsid w:val="007272F1"/>
    <w:rsid w:val="00727680"/>
    <w:rsid w:val="00732096"/>
    <w:rsid w:val="007348B1"/>
    <w:rsid w:val="007362A6"/>
    <w:rsid w:val="00736D7D"/>
    <w:rsid w:val="00740E58"/>
    <w:rsid w:val="007445A0"/>
    <w:rsid w:val="0074524B"/>
    <w:rsid w:val="007454F4"/>
    <w:rsid w:val="007468F7"/>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0DD4"/>
    <w:rsid w:val="007925EA"/>
    <w:rsid w:val="00793CD8"/>
    <w:rsid w:val="00795C92"/>
    <w:rsid w:val="00796231"/>
    <w:rsid w:val="007973DE"/>
    <w:rsid w:val="007A0301"/>
    <w:rsid w:val="007A1CB3"/>
    <w:rsid w:val="007A306F"/>
    <w:rsid w:val="007A43A6"/>
    <w:rsid w:val="007A58A6"/>
    <w:rsid w:val="007B3985"/>
    <w:rsid w:val="007B3D2D"/>
    <w:rsid w:val="007B50AE"/>
    <w:rsid w:val="007B51DF"/>
    <w:rsid w:val="007C05DD"/>
    <w:rsid w:val="007C3D18"/>
    <w:rsid w:val="007C46B5"/>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088F"/>
    <w:rsid w:val="00801C02"/>
    <w:rsid w:val="00803FAE"/>
    <w:rsid w:val="00805DC4"/>
    <w:rsid w:val="0080605F"/>
    <w:rsid w:val="00807786"/>
    <w:rsid w:val="00811FCB"/>
    <w:rsid w:val="008158D6"/>
    <w:rsid w:val="0081669C"/>
    <w:rsid w:val="00817196"/>
    <w:rsid w:val="008173B2"/>
    <w:rsid w:val="00817D39"/>
    <w:rsid w:val="008225CB"/>
    <w:rsid w:val="00822B3A"/>
    <w:rsid w:val="00823111"/>
    <w:rsid w:val="008235DB"/>
    <w:rsid w:val="00823B01"/>
    <w:rsid w:val="00824AB4"/>
    <w:rsid w:val="00825A9C"/>
    <w:rsid w:val="00825C42"/>
    <w:rsid w:val="00825D25"/>
    <w:rsid w:val="00827D6F"/>
    <w:rsid w:val="00833714"/>
    <w:rsid w:val="00835328"/>
    <w:rsid w:val="008376AC"/>
    <w:rsid w:val="0084172E"/>
    <w:rsid w:val="00843B56"/>
    <w:rsid w:val="008444E8"/>
    <w:rsid w:val="00844E80"/>
    <w:rsid w:val="00846855"/>
    <w:rsid w:val="00846FE7"/>
    <w:rsid w:val="008525F8"/>
    <w:rsid w:val="00854669"/>
    <w:rsid w:val="00856911"/>
    <w:rsid w:val="00865524"/>
    <w:rsid w:val="008677FD"/>
    <w:rsid w:val="008706D4"/>
    <w:rsid w:val="00870F8A"/>
    <w:rsid w:val="008719A4"/>
    <w:rsid w:val="00871D23"/>
    <w:rsid w:val="00874312"/>
    <w:rsid w:val="0087437C"/>
    <w:rsid w:val="008755C4"/>
    <w:rsid w:val="00875CD7"/>
    <w:rsid w:val="00876B4D"/>
    <w:rsid w:val="00877F18"/>
    <w:rsid w:val="00880B93"/>
    <w:rsid w:val="00881F2F"/>
    <w:rsid w:val="00882F42"/>
    <w:rsid w:val="00890C95"/>
    <w:rsid w:val="00894A88"/>
    <w:rsid w:val="00895386"/>
    <w:rsid w:val="00897195"/>
    <w:rsid w:val="00897C7A"/>
    <w:rsid w:val="008A21FF"/>
    <w:rsid w:val="008A2CE2"/>
    <w:rsid w:val="008A30AC"/>
    <w:rsid w:val="008A44B8"/>
    <w:rsid w:val="008A51A8"/>
    <w:rsid w:val="008A54C7"/>
    <w:rsid w:val="008A7704"/>
    <w:rsid w:val="008A77D8"/>
    <w:rsid w:val="008A7EDC"/>
    <w:rsid w:val="008B0483"/>
    <w:rsid w:val="008B120C"/>
    <w:rsid w:val="008B14C9"/>
    <w:rsid w:val="008B51A0"/>
    <w:rsid w:val="008B592A"/>
    <w:rsid w:val="008B6143"/>
    <w:rsid w:val="008B7B5C"/>
    <w:rsid w:val="008C012E"/>
    <w:rsid w:val="008C0C99"/>
    <w:rsid w:val="008C1D78"/>
    <w:rsid w:val="008C2017"/>
    <w:rsid w:val="008C21F4"/>
    <w:rsid w:val="008C4958"/>
    <w:rsid w:val="008C4BAA"/>
    <w:rsid w:val="008C5D9C"/>
    <w:rsid w:val="008C640F"/>
    <w:rsid w:val="008C6AE8"/>
    <w:rsid w:val="008C7573"/>
    <w:rsid w:val="008D34F1"/>
    <w:rsid w:val="008D39D8"/>
    <w:rsid w:val="008D5030"/>
    <w:rsid w:val="008D6D1A"/>
    <w:rsid w:val="008D77F2"/>
    <w:rsid w:val="008E0927"/>
    <w:rsid w:val="008E1909"/>
    <w:rsid w:val="008E1B8B"/>
    <w:rsid w:val="008E234F"/>
    <w:rsid w:val="008E28F5"/>
    <w:rsid w:val="008E3E60"/>
    <w:rsid w:val="008F03D8"/>
    <w:rsid w:val="008F14D1"/>
    <w:rsid w:val="008F1EAB"/>
    <w:rsid w:val="008F2DA9"/>
    <w:rsid w:val="008F2F68"/>
    <w:rsid w:val="008F33DC"/>
    <w:rsid w:val="008F477F"/>
    <w:rsid w:val="008F5F94"/>
    <w:rsid w:val="008F6358"/>
    <w:rsid w:val="008F78EF"/>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20CA"/>
    <w:rsid w:val="009368F3"/>
    <w:rsid w:val="00940213"/>
    <w:rsid w:val="00941636"/>
    <w:rsid w:val="00943742"/>
    <w:rsid w:val="00943FC3"/>
    <w:rsid w:val="00944D43"/>
    <w:rsid w:val="00945C05"/>
    <w:rsid w:val="00946945"/>
    <w:rsid w:val="009475BF"/>
    <w:rsid w:val="00947713"/>
    <w:rsid w:val="00950DE7"/>
    <w:rsid w:val="00953920"/>
    <w:rsid w:val="00953D47"/>
    <w:rsid w:val="0095681E"/>
    <w:rsid w:val="009572D4"/>
    <w:rsid w:val="00960F7D"/>
    <w:rsid w:val="00961921"/>
    <w:rsid w:val="0096430A"/>
    <w:rsid w:val="0096477F"/>
    <w:rsid w:val="0096554B"/>
    <w:rsid w:val="0096584A"/>
    <w:rsid w:val="0097190F"/>
    <w:rsid w:val="00971F08"/>
    <w:rsid w:val="00973818"/>
    <w:rsid w:val="0097603D"/>
    <w:rsid w:val="00976949"/>
    <w:rsid w:val="00980477"/>
    <w:rsid w:val="00984E66"/>
    <w:rsid w:val="00985253"/>
    <w:rsid w:val="009853B3"/>
    <w:rsid w:val="009877CB"/>
    <w:rsid w:val="00987B34"/>
    <w:rsid w:val="00990630"/>
    <w:rsid w:val="00991761"/>
    <w:rsid w:val="00994DCA"/>
    <w:rsid w:val="009960EC"/>
    <w:rsid w:val="009970DD"/>
    <w:rsid w:val="009A027F"/>
    <w:rsid w:val="009A0602"/>
    <w:rsid w:val="009A0FBA"/>
    <w:rsid w:val="009A1601"/>
    <w:rsid w:val="009A4514"/>
    <w:rsid w:val="009A462D"/>
    <w:rsid w:val="009A4BD6"/>
    <w:rsid w:val="009A5CBA"/>
    <w:rsid w:val="009B1768"/>
    <w:rsid w:val="009B1F30"/>
    <w:rsid w:val="009B227E"/>
    <w:rsid w:val="009B3AC2"/>
    <w:rsid w:val="009B4DF4"/>
    <w:rsid w:val="009B564E"/>
    <w:rsid w:val="009B569B"/>
    <w:rsid w:val="009B7E87"/>
    <w:rsid w:val="009C0D4F"/>
    <w:rsid w:val="009C403E"/>
    <w:rsid w:val="009C69E7"/>
    <w:rsid w:val="009D09F9"/>
    <w:rsid w:val="009D2ACB"/>
    <w:rsid w:val="009D4FF0"/>
    <w:rsid w:val="009D6BB6"/>
    <w:rsid w:val="009D703C"/>
    <w:rsid w:val="009D718F"/>
    <w:rsid w:val="009E068F"/>
    <w:rsid w:val="009E14E0"/>
    <w:rsid w:val="009E35DB"/>
    <w:rsid w:val="009E42A1"/>
    <w:rsid w:val="009E47A3"/>
    <w:rsid w:val="009F08F3"/>
    <w:rsid w:val="009F344F"/>
    <w:rsid w:val="009F7792"/>
    <w:rsid w:val="00A01E69"/>
    <w:rsid w:val="00A046AC"/>
    <w:rsid w:val="00A048A8"/>
    <w:rsid w:val="00A064C3"/>
    <w:rsid w:val="00A101F1"/>
    <w:rsid w:val="00A12653"/>
    <w:rsid w:val="00A13E54"/>
    <w:rsid w:val="00A1638E"/>
    <w:rsid w:val="00A16C26"/>
    <w:rsid w:val="00A17F63"/>
    <w:rsid w:val="00A2193B"/>
    <w:rsid w:val="00A2351A"/>
    <w:rsid w:val="00A264A9"/>
    <w:rsid w:val="00A27785"/>
    <w:rsid w:val="00A30187"/>
    <w:rsid w:val="00A343C0"/>
    <w:rsid w:val="00A3448A"/>
    <w:rsid w:val="00A36297"/>
    <w:rsid w:val="00A41E2B"/>
    <w:rsid w:val="00A45B74"/>
    <w:rsid w:val="00A478B2"/>
    <w:rsid w:val="00A504D2"/>
    <w:rsid w:val="00A52E1D"/>
    <w:rsid w:val="00A5490F"/>
    <w:rsid w:val="00A558EB"/>
    <w:rsid w:val="00A61499"/>
    <w:rsid w:val="00A62A77"/>
    <w:rsid w:val="00A63483"/>
    <w:rsid w:val="00A657D7"/>
    <w:rsid w:val="00A660AC"/>
    <w:rsid w:val="00A67E6C"/>
    <w:rsid w:val="00A70796"/>
    <w:rsid w:val="00A71B99"/>
    <w:rsid w:val="00A725C0"/>
    <w:rsid w:val="00A739D0"/>
    <w:rsid w:val="00A761D4"/>
    <w:rsid w:val="00A766FA"/>
    <w:rsid w:val="00A77EC4"/>
    <w:rsid w:val="00A86418"/>
    <w:rsid w:val="00A86868"/>
    <w:rsid w:val="00A90939"/>
    <w:rsid w:val="00A92879"/>
    <w:rsid w:val="00A934AB"/>
    <w:rsid w:val="00A9442A"/>
    <w:rsid w:val="00A94494"/>
    <w:rsid w:val="00AA016F"/>
    <w:rsid w:val="00AA1ED6"/>
    <w:rsid w:val="00AA51D6"/>
    <w:rsid w:val="00AA6A04"/>
    <w:rsid w:val="00AB061C"/>
    <w:rsid w:val="00AB0BC8"/>
    <w:rsid w:val="00AB0FCC"/>
    <w:rsid w:val="00AB11CA"/>
    <w:rsid w:val="00AB14D9"/>
    <w:rsid w:val="00AB4AB8"/>
    <w:rsid w:val="00AB655E"/>
    <w:rsid w:val="00AC007F"/>
    <w:rsid w:val="00AC2DD9"/>
    <w:rsid w:val="00AC2ECD"/>
    <w:rsid w:val="00AC3119"/>
    <w:rsid w:val="00AC49FB"/>
    <w:rsid w:val="00AC5A10"/>
    <w:rsid w:val="00AC640C"/>
    <w:rsid w:val="00AD0AA3"/>
    <w:rsid w:val="00AD2642"/>
    <w:rsid w:val="00AD3F94"/>
    <w:rsid w:val="00AD4A5A"/>
    <w:rsid w:val="00AE0234"/>
    <w:rsid w:val="00AE27AC"/>
    <w:rsid w:val="00AE40E0"/>
    <w:rsid w:val="00AE4DBA"/>
    <w:rsid w:val="00AE4F07"/>
    <w:rsid w:val="00AF19E0"/>
    <w:rsid w:val="00AF1C5D"/>
    <w:rsid w:val="00AF42D7"/>
    <w:rsid w:val="00B006FE"/>
    <w:rsid w:val="00B007CB"/>
    <w:rsid w:val="00B02565"/>
    <w:rsid w:val="00B02AA9"/>
    <w:rsid w:val="00B02C00"/>
    <w:rsid w:val="00B02FA3"/>
    <w:rsid w:val="00B04957"/>
    <w:rsid w:val="00B05084"/>
    <w:rsid w:val="00B07E9A"/>
    <w:rsid w:val="00B12A07"/>
    <w:rsid w:val="00B157F9"/>
    <w:rsid w:val="00B15A7E"/>
    <w:rsid w:val="00B20256"/>
    <w:rsid w:val="00B20D09"/>
    <w:rsid w:val="00B22DCE"/>
    <w:rsid w:val="00B2763F"/>
    <w:rsid w:val="00B27AAC"/>
    <w:rsid w:val="00B30929"/>
    <w:rsid w:val="00B31D99"/>
    <w:rsid w:val="00B3643E"/>
    <w:rsid w:val="00B372AA"/>
    <w:rsid w:val="00B40445"/>
    <w:rsid w:val="00B41888"/>
    <w:rsid w:val="00B45A52"/>
    <w:rsid w:val="00B46175"/>
    <w:rsid w:val="00B46E62"/>
    <w:rsid w:val="00B5330B"/>
    <w:rsid w:val="00B608FC"/>
    <w:rsid w:val="00B63F83"/>
    <w:rsid w:val="00B664C7"/>
    <w:rsid w:val="00B709C1"/>
    <w:rsid w:val="00B739F6"/>
    <w:rsid w:val="00B81A6C"/>
    <w:rsid w:val="00B83D6A"/>
    <w:rsid w:val="00B85DE5"/>
    <w:rsid w:val="00B87311"/>
    <w:rsid w:val="00B90F73"/>
    <w:rsid w:val="00B9186D"/>
    <w:rsid w:val="00B91A51"/>
    <w:rsid w:val="00B93B59"/>
    <w:rsid w:val="00B9406A"/>
    <w:rsid w:val="00BA2280"/>
    <w:rsid w:val="00BA2A08"/>
    <w:rsid w:val="00BA3921"/>
    <w:rsid w:val="00BA56D2"/>
    <w:rsid w:val="00BA76E0"/>
    <w:rsid w:val="00BB2A25"/>
    <w:rsid w:val="00BB51E9"/>
    <w:rsid w:val="00BC0FDC"/>
    <w:rsid w:val="00BC3053"/>
    <w:rsid w:val="00BC35ED"/>
    <w:rsid w:val="00BC4D2E"/>
    <w:rsid w:val="00BC590C"/>
    <w:rsid w:val="00BC6F15"/>
    <w:rsid w:val="00BD0078"/>
    <w:rsid w:val="00BD3E71"/>
    <w:rsid w:val="00BD48AC"/>
    <w:rsid w:val="00BD4964"/>
    <w:rsid w:val="00BD5F1A"/>
    <w:rsid w:val="00BD6434"/>
    <w:rsid w:val="00BD7D33"/>
    <w:rsid w:val="00BE1234"/>
    <w:rsid w:val="00BE1C5A"/>
    <w:rsid w:val="00BE2FA6"/>
    <w:rsid w:val="00BE333F"/>
    <w:rsid w:val="00BE73C3"/>
    <w:rsid w:val="00BE7406"/>
    <w:rsid w:val="00BE7603"/>
    <w:rsid w:val="00BF213B"/>
    <w:rsid w:val="00BF3279"/>
    <w:rsid w:val="00BF3EFE"/>
    <w:rsid w:val="00BF74C7"/>
    <w:rsid w:val="00C010AF"/>
    <w:rsid w:val="00C01575"/>
    <w:rsid w:val="00C015F1"/>
    <w:rsid w:val="00C01F33"/>
    <w:rsid w:val="00C02CC6"/>
    <w:rsid w:val="00C040F7"/>
    <w:rsid w:val="00C044AB"/>
    <w:rsid w:val="00C05706"/>
    <w:rsid w:val="00C07377"/>
    <w:rsid w:val="00C07665"/>
    <w:rsid w:val="00C10478"/>
    <w:rsid w:val="00C10951"/>
    <w:rsid w:val="00C12107"/>
    <w:rsid w:val="00C14D4B"/>
    <w:rsid w:val="00C154BB"/>
    <w:rsid w:val="00C26DBD"/>
    <w:rsid w:val="00C27860"/>
    <w:rsid w:val="00C279B5"/>
    <w:rsid w:val="00C27C45"/>
    <w:rsid w:val="00C354D9"/>
    <w:rsid w:val="00C3719D"/>
    <w:rsid w:val="00C42675"/>
    <w:rsid w:val="00C5081D"/>
    <w:rsid w:val="00C50B97"/>
    <w:rsid w:val="00C52AB0"/>
    <w:rsid w:val="00C5308F"/>
    <w:rsid w:val="00C54995"/>
    <w:rsid w:val="00C54D41"/>
    <w:rsid w:val="00C60783"/>
    <w:rsid w:val="00C64672"/>
    <w:rsid w:val="00C65D02"/>
    <w:rsid w:val="00C70697"/>
    <w:rsid w:val="00C72EF4"/>
    <w:rsid w:val="00C734EC"/>
    <w:rsid w:val="00C75D2F"/>
    <w:rsid w:val="00C767BE"/>
    <w:rsid w:val="00C76E3C"/>
    <w:rsid w:val="00C77BFD"/>
    <w:rsid w:val="00C81568"/>
    <w:rsid w:val="00C82C19"/>
    <w:rsid w:val="00C8423B"/>
    <w:rsid w:val="00C9027A"/>
    <w:rsid w:val="00C9068E"/>
    <w:rsid w:val="00C90785"/>
    <w:rsid w:val="00C93C4B"/>
    <w:rsid w:val="00C944AB"/>
    <w:rsid w:val="00C95B40"/>
    <w:rsid w:val="00C97623"/>
    <w:rsid w:val="00CA0230"/>
    <w:rsid w:val="00CA1ED8"/>
    <w:rsid w:val="00CA3F6F"/>
    <w:rsid w:val="00CA444B"/>
    <w:rsid w:val="00CA4E21"/>
    <w:rsid w:val="00CA6CFE"/>
    <w:rsid w:val="00CB1F63"/>
    <w:rsid w:val="00CB6FE2"/>
    <w:rsid w:val="00CB7170"/>
    <w:rsid w:val="00CC040E"/>
    <w:rsid w:val="00CC111F"/>
    <w:rsid w:val="00CC1A6B"/>
    <w:rsid w:val="00CC2011"/>
    <w:rsid w:val="00CC3EA0"/>
    <w:rsid w:val="00CC3F1F"/>
    <w:rsid w:val="00CC7B45"/>
    <w:rsid w:val="00CD1188"/>
    <w:rsid w:val="00CD2ED1"/>
    <w:rsid w:val="00CD337B"/>
    <w:rsid w:val="00CD5696"/>
    <w:rsid w:val="00CE0284"/>
    <w:rsid w:val="00CE133C"/>
    <w:rsid w:val="00CE41AD"/>
    <w:rsid w:val="00CE7561"/>
    <w:rsid w:val="00CF1354"/>
    <w:rsid w:val="00CF3B1F"/>
    <w:rsid w:val="00CF3BF6"/>
    <w:rsid w:val="00CF57DA"/>
    <w:rsid w:val="00CF625B"/>
    <w:rsid w:val="00CF687E"/>
    <w:rsid w:val="00D0349B"/>
    <w:rsid w:val="00D04BC4"/>
    <w:rsid w:val="00D05520"/>
    <w:rsid w:val="00D10249"/>
    <w:rsid w:val="00D106B4"/>
    <w:rsid w:val="00D115C3"/>
    <w:rsid w:val="00D11897"/>
    <w:rsid w:val="00D13135"/>
    <w:rsid w:val="00D13571"/>
    <w:rsid w:val="00D13E4E"/>
    <w:rsid w:val="00D20050"/>
    <w:rsid w:val="00D239A7"/>
    <w:rsid w:val="00D23F47"/>
    <w:rsid w:val="00D36E71"/>
    <w:rsid w:val="00D3793B"/>
    <w:rsid w:val="00D37D87"/>
    <w:rsid w:val="00D40B33"/>
    <w:rsid w:val="00D42A7F"/>
    <w:rsid w:val="00D4318F"/>
    <w:rsid w:val="00D438BF"/>
    <w:rsid w:val="00D440F8"/>
    <w:rsid w:val="00D47CC0"/>
    <w:rsid w:val="00D546FF"/>
    <w:rsid w:val="00D55180"/>
    <w:rsid w:val="00D55AD5"/>
    <w:rsid w:val="00D576CA"/>
    <w:rsid w:val="00D61AF5"/>
    <w:rsid w:val="00D652B5"/>
    <w:rsid w:val="00D66155"/>
    <w:rsid w:val="00D708B0"/>
    <w:rsid w:val="00D70FCF"/>
    <w:rsid w:val="00D763F7"/>
    <w:rsid w:val="00D77B1D"/>
    <w:rsid w:val="00D8021F"/>
    <w:rsid w:val="00D80383"/>
    <w:rsid w:val="00D823C6"/>
    <w:rsid w:val="00D869E1"/>
    <w:rsid w:val="00D86CA3"/>
    <w:rsid w:val="00D871CE"/>
    <w:rsid w:val="00D9196D"/>
    <w:rsid w:val="00D92982"/>
    <w:rsid w:val="00D92EFF"/>
    <w:rsid w:val="00D95C04"/>
    <w:rsid w:val="00DA145E"/>
    <w:rsid w:val="00DA305E"/>
    <w:rsid w:val="00DA5417"/>
    <w:rsid w:val="00DA56E8"/>
    <w:rsid w:val="00DB0009"/>
    <w:rsid w:val="00DB27F0"/>
    <w:rsid w:val="00DB3730"/>
    <w:rsid w:val="00DB377D"/>
    <w:rsid w:val="00DB4741"/>
    <w:rsid w:val="00DC2C68"/>
    <w:rsid w:val="00DC2D36"/>
    <w:rsid w:val="00DC4220"/>
    <w:rsid w:val="00DC49B8"/>
    <w:rsid w:val="00DC53EF"/>
    <w:rsid w:val="00DC6A6D"/>
    <w:rsid w:val="00DD0B6F"/>
    <w:rsid w:val="00DD5DFE"/>
    <w:rsid w:val="00DE35AD"/>
    <w:rsid w:val="00DE5608"/>
    <w:rsid w:val="00DE58D0"/>
    <w:rsid w:val="00DE654F"/>
    <w:rsid w:val="00DE761A"/>
    <w:rsid w:val="00DF0B6E"/>
    <w:rsid w:val="00DF15E0"/>
    <w:rsid w:val="00DF189F"/>
    <w:rsid w:val="00DF36BF"/>
    <w:rsid w:val="00DF37A0"/>
    <w:rsid w:val="00E00F56"/>
    <w:rsid w:val="00E05F90"/>
    <w:rsid w:val="00E10F57"/>
    <w:rsid w:val="00E110E7"/>
    <w:rsid w:val="00E11B20"/>
    <w:rsid w:val="00E1340B"/>
    <w:rsid w:val="00E17FA2"/>
    <w:rsid w:val="00E22330"/>
    <w:rsid w:val="00E22AA3"/>
    <w:rsid w:val="00E26ACC"/>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26CF"/>
    <w:rsid w:val="00E53B75"/>
    <w:rsid w:val="00E54E3B"/>
    <w:rsid w:val="00E57565"/>
    <w:rsid w:val="00E61B60"/>
    <w:rsid w:val="00E620F6"/>
    <w:rsid w:val="00E63838"/>
    <w:rsid w:val="00E63C3C"/>
    <w:rsid w:val="00E64434"/>
    <w:rsid w:val="00E64629"/>
    <w:rsid w:val="00E67C51"/>
    <w:rsid w:val="00E7287A"/>
    <w:rsid w:val="00E72EFC"/>
    <w:rsid w:val="00E734CA"/>
    <w:rsid w:val="00E73E05"/>
    <w:rsid w:val="00E758EC"/>
    <w:rsid w:val="00E8234C"/>
    <w:rsid w:val="00E83AA9"/>
    <w:rsid w:val="00E85928"/>
    <w:rsid w:val="00E8634B"/>
    <w:rsid w:val="00E86C89"/>
    <w:rsid w:val="00E87822"/>
    <w:rsid w:val="00E90395"/>
    <w:rsid w:val="00E90E49"/>
    <w:rsid w:val="00E917F9"/>
    <w:rsid w:val="00E91F98"/>
    <w:rsid w:val="00E9291C"/>
    <w:rsid w:val="00E93FFE"/>
    <w:rsid w:val="00E94F8A"/>
    <w:rsid w:val="00E967C7"/>
    <w:rsid w:val="00EA7157"/>
    <w:rsid w:val="00EA7A41"/>
    <w:rsid w:val="00EB048A"/>
    <w:rsid w:val="00EB077B"/>
    <w:rsid w:val="00EB0C85"/>
    <w:rsid w:val="00EB390A"/>
    <w:rsid w:val="00EB4EA2"/>
    <w:rsid w:val="00EB79C9"/>
    <w:rsid w:val="00EC27C6"/>
    <w:rsid w:val="00EC3CD9"/>
    <w:rsid w:val="00EC4207"/>
    <w:rsid w:val="00EC5653"/>
    <w:rsid w:val="00EC5C69"/>
    <w:rsid w:val="00EC61E8"/>
    <w:rsid w:val="00EC6DA5"/>
    <w:rsid w:val="00EC71CE"/>
    <w:rsid w:val="00ED054C"/>
    <w:rsid w:val="00ED1006"/>
    <w:rsid w:val="00ED17EC"/>
    <w:rsid w:val="00ED6FF7"/>
    <w:rsid w:val="00EE104A"/>
    <w:rsid w:val="00EE3B7C"/>
    <w:rsid w:val="00EE4D9A"/>
    <w:rsid w:val="00EF18FE"/>
    <w:rsid w:val="00EF5787"/>
    <w:rsid w:val="00EF60D0"/>
    <w:rsid w:val="00F0528D"/>
    <w:rsid w:val="00F06C67"/>
    <w:rsid w:val="00F06DFD"/>
    <w:rsid w:val="00F071D1"/>
    <w:rsid w:val="00F07533"/>
    <w:rsid w:val="00F07840"/>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1B32"/>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871FE"/>
    <w:rsid w:val="00F9056A"/>
    <w:rsid w:val="00F90BAB"/>
    <w:rsid w:val="00F90F8D"/>
    <w:rsid w:val="00F92782"/>
    <w:rsid w:val="00F93AA9"/>
    <w:rsid w:val="00F95EE3"/>
    <w:rsid w:val="00F96985"/>
    <w:rsid w:val="00F96FD8"/>
    <w:rsid w:val="00F97838"/>
    <w:rsid w:val="00FA2BB3"/>
    <w:rsid w:val="00FB36B6"/>
    <w:rsid w:val="00FB4C80"/>
    <w:rsid w:val="00FB528C"/>
    <w:rsid w:val="00FB52F6"/>
    <w:rsid w:val="00FB6A6A"/>
    <w:rsid w:val="00FC677A"/>
    <w:rsid w:val="00FC7429"/>
    <w:rsid w:val="00FD046E"/>
    <w:rsid w:val="00FD07F6"/>
    <w:rsid w:val="00FD1EC8"/>
    <w:rsid w:val="00FD23CA"/>
    <w:rsid w:val="00FD286B"/>
    <w:rsid w:val="00FD47ED"/>
    <w:rsid w:val="00FD61E8"/>
    <w:rsid w:val="00FD74DB"/>
    <w:rsid w:val="00FD7660"/>
    <w:rsid w:val="00FE0655"/>
    <w:rsid w:val="00FE2365"/>
    <w:rsid w:val="00FE4C7B"/>
    <w:rsid w:val="00FE7336"/>
    <w:rsid w:val="00FE787C"/>
    <w:rsid w:val="00FE7B0C"/>
    <w:rsid w:val="00FF40FF"/>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EB1981"/>
  <w15:docId w15:val="{1DB7F541-B98E-4000-924C-4C973B168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link w:val="GuidanceChar"/>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CommentTextChar">
    <w:name w:val="Comment Text Char"/>
    <w:basedOn w:val="DefaultParagraphFont"/>
    <w:link w:val="CommentText"/>
    <w:semiHidden/>
    <w:rsid w:val="00B15A7E"/>
    <w:rPr>
      <w:rFonts w:ascii="Arial" w:hAnsi="Arial"/>
      <w:lang w:val="en-GB" w:eastAsia="zh-CN"/>
    </w:rPr>
  </w:style>
  <w:style w:type="paragraph" w:customStyle="1" w:styleId="Text">
    <w:name w:val="Text"/>
    <w:rsid w:val="0009119F"/>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character" w:customStyle="1" w:styleId="TAHCar">
    <w:name w:val="TAH Car"/>
    <w:link w:val="TAH"/>
    <w:rsid w:val="00882F42"/>
    <w:rPr>
      <w:rFonts w:ascii="Arial" w:hAnsi="Arial"/>
      <w:b/>
      <w:sz w:val="18"/>
      <w:lang w:val="en-GB" w:eastAsia="en-US"/>
    </w:rPr>
  </w:style>
  <w:style w:type="character" w:customStyle="1" w:styleId="GuidanceChar">
    <w:name w:val="Guidance Char"/>
    <w:link w:val="Guidance"/>
    <w:rsid w:val="00882F42"/>
    <w:rPr>
      <w:rFonts w:ascii="Times New Roman" w:eastAsia="MS Mincho" w:hAnsi="Times New Roman"/>
      <w:i/>
      <w:color w:val="0000FF"/>
      <w:lang w:val="en-GB" w:eastAsia="en-US"/>
    </w:rPr>
  </w:style>
  <w:style w:type="character" w:styleId="PlaceholderText">
    <w:name w:val="Placeholder Text"/>
    <w:basedOn w:val="DefaultParagraphFont"/>
    <w:uiPriority w:val="99"/>
    <w:semiHidden/>
    <w:rsid w:val="00605C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37970">
      <w:bodyDiv w:val="1"/>
      <w:marLeft w:val="0"/>
      <w:marRight w:val="0"/>
      <w:marTop w:val="0"/>
      <w:marBottom w:val="0"/>
      <w:divBdr>
        <w:top w:val="none" w:sz="0" w:space="0" w:color="auto"/>
        <w:left w:val="none" w:sz="0" w:space="0" w:color="auto"/>
        <w:bottom w:val="none" w:sz="0" w:space="0" w:color="auto"/>
        <w:right w:val="none" w:sz="0" w:space="0" w:color="auto"/>
      </w:divBdr>
    </w:div>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13527599">
      <w:bodyDiv w:val="1"/>
      <w:marLeft w:val="0"/>
      <w:marRight w:val="0"/>
      <w:marTop w:val="0"/>
      <w:marBottom w:val="0"/>
      <w:divBdr>
        <w:top w:val="none" w:sz="0" w:space="0" w:color="auto"/>
        <w:left w:val="none" w:sz="0" w:space="0" w:color="auto"/>
        <w:bottom w:val="none" w:sz="0" w:space="0" w:color="auto"/>
        <w:right w:val="none" w:sz="0" w:space="0" w:color="auto"/>
      </w:divBdr>
    </w:div>
    <w:div w:id="220216193">
      <w:bodyDiv w:val="1"/>
      <w:marLeft w:val="0"/>
      <w:marRight w:val="0"/>
      <w:marTop w:val="0"/>
      <w:marBottom w:val="0"/>
      <w:divBdr>
        <w:top w:val="none" w:sz="0" w:space="0" w:color="auto"/>
        <w:left w:val="none" w:sz="0" w:space="0" w:color="auto"/>
        <w:bottom w:val="none" w:sz="0" w:space="0" w:color="auto"/>
        <w:right w:val="none" w:sz="0" w:space="0" w:color="auto"/>
      </w:divBdr>
      <w:divsChild>
        <w:div w:id="1733238725">
          <w:marLeft w:val="547"/>
          <w:marRight w:val="0"/>
          <w:marTop w:val="144"/>
          <w:marBottom w:val="0"/>
          <w:divBdr>
            <w:top w:val="none" w:sz="0" w:space="0" w:color="auto"/>
            <w:left w:val="none" w:sz="0" w:space="0" w:color="auto"/>
            <w:bottom w:val="none" w:sz="0" w:space="0" w:color="auto"/>
            <w:right w:val="none" w:sz="0" w:space="0" w:color="auto"/>
          </w:divBdr>
        </w:div>
        <w:div w:id="2101024854">
          <w:marLeft w:val="1166"/>
          <w:marRight w:val="0"/>
          <w:marTop w:val="125"/>
          <w:marBottom w:val="0"/>
          <w:divBdr>
            <w:top w:val="none" w:sz="0" w:space="0" w:color="auto"/>
            <w:left w:val="none" w:sz="0" w:space="0" w:color="auto"/>
            <w:bottom w:val="none" w:sz="0" w:space="0" w:color="auto"/>
            <w:right w:val="none" w:sz="0" w:space="0" w:color="auto"/>
          </w:divBdr>
        </w:div>
        <w:div w:id="154615333">
          <w:marLeft w:val="1166"/>
          <w:marRight w:val="0"/>
          <w:marTop w:val="125"/>
          <w:marBottom w:val="0"/>
          <w:divBdr>
            <w:top w:val="none" w:sz="0" w:space="0" w:color="auto"/>
            <w:left w:val="none" w:sz="0" w:space="0" w:color="auto"/>
            <w:bottom w:val="none" w:sz="0" w:space="0" w:color="auto"/>
            <w:right w:val="none" w:sz="0" w:space="0" w:color="auto"/>
          </w:divBdr>
        </w:div>
        <w:div w:id="769159246">
          <w:marLeft w:val="1800"/>
          <w:marRight w:val="0"/>
          <w:marTop w:val="106"/>
          <w:marBottom w:val="0"/>
          <w:divBdr>
            <w:top w:val="none" w:sz="0" w:space="0" w:color="auto"/>
            <w:left w:val="none" w:sz="0" w:space="0" w:color="auto"/>
            <w:bottom w:val="none" w:sz="0" w:space="0" w:color="auto"/>
            <w:right w:val="none" w:sz="0" w:space="0" w:color="auto"/>
          </w:divBdr>
        </w:div>
      </w:divsChild>
    </w:div>
    <w:div w:id="447312210">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32101375">
      <w:bodyDiv w:val="1"/>
      <w:marLeft w:val="0"/>
      <w:marRight w:val="0"/>
      <w:marTop w:val="0"/>
      <w:marBottom w:val="0"/>
      <w:divBdr>
        <w:top w:val="none" w:sz="0" w:space="0" w:color="auto"/>
        <w:left w:val="none" w:sz="0" w:space="0" w:color="auto"/>
        <w:bottom w:val="none" w:sz="0" w:space="0" w:color="auto"/>
        <w:right w:val="none" w:sz="0" w:space="0" w:color="auto"/>
      </w:divBdr>
      <w:divsChild>
        <w:div w:id="1967080918">
          <w:marLeft w:val="547"/>
          <w:marRight w:val="0"/>
          <w:marTop w:val="120"/>
          <w:marBottom w:val="0"/>
          <w:divBdr>
            <w:top w:val="none" w:sz="0" w:space="0" w:color="auto"/>
            <w:left w:val="none" w:sz="0" w:space="0" w:color="auto"/>
            <w:bottom w:val="none" w:sz="0" w:space="0" w:color="auto"/>
            <w:right w:val="none" w:sz="0" w:space="0" w:color="auto"/>
          </w:divBdr>
        </w:div>
        <w:div w:id="1966890169">
          <w:marLeft w:val="1166"/>
          <w:marRight w:val="0"/>
          <w:marTop w:val="106"/>
          <w:marBottom w:val="0"/>
          <w:divBdr>
            <w:top w:val="none" w:sz="0" w:space="0" w:color="auto"/>
            <w:left w:val="none" w:sz="0" w:space="0" w:color="auto"/>
            <w:bottom w:val="none" w:sz="0" w:space="0" w:color="auto"/>
            <w:right w:val="none" w:sz="0" w:space="0" w:color="auto"/>
          </w:divBdr>
        </w:div>
        <w:div w:id="1298026232">
          <w:marLeft w:val="1166"/>
          <w:marRight w:val="0"/>
          <w:marTop w:val="106"/>
          <w:marBottom w:val="0"/>
          <w:divBdr>
            <w:top w:val="none" w:sz="0" w:space="0" w:color="auto"/>
            <w:left w:val="none" w:sz="0" w:space="0" w:color="auto"/>
            <w:bottom w:val="none" w:sz="0" w:space="0" w:color="auto"/>
            <w:right w:val="none" w:sz="0" w:space="0" w:color="auto"/>
          </w:divBdr>
        </w:div>
        <w:div w:id="760175996">
          <w:marLeft w:val="547"/>
          <w:marRight w:val="0"/>
          <w:marTop w:val="120"/>
          <w:marBottom w:val="0"/>
          <w:divBdr>
            <w:top w:val="none" w:sz="0" w:space="0" w:color="auto"/>
            <w:left w:val="none" w:sz="0" w:space="0" w:color="auto"/>
            <w:bottom w:val="none" w:sz="0" w:space="0" w:color="auto"/>
            <w:right w:val="none" w:sz="0" w:space="0" w:color="auto"/>
          </w:divBdr>
        </w:div>
        <w:div w:id="1669365307">
          <w:marLeft w:val="547"/>
          <w:marRight w:val="0"/>
          <w:marTop w:val="120"/>
          <w:marBottom w:val="0"/>
          <w:divBdr>
            <w:top w:val="none" w:sz="0" w:space="0" w:color="auto"/>
            <w:left w:val="none" w:sz="0" w:space="0" w:color="auto"/>
            <w:bottom w:val="none" w:sz="0" w:space="0" w:color="auto"/>
            <w:right w:val="none" w:sz="0" w:space="0" w:color="auto"/>
          </w:divBdr>
        </w:div>
        <w:div w:id="489489386">
          <w:marLeft w:val="1166"/>
          <w:marRight w:val="0"/>
          <w:marTop w:val="106"/>
          <w:marBottom w:val="0"/>
          <w:divBdr>
            <w:top w:val="none" w:sz="0" w:space="0" w:color="auto"/>
            <w:left w:val="none" w:sz="0" w:space="0" w:color="auto"/>
            <w:bottom w:val="none" w:sz="0" w:space="0" w:color="auto"/>
            <w:right w:val="none" w:sz="0" w:space="0" w:color="auto"/>
          </w:divBdr>
        </w:div>
        <w:div w:id="445199311">
          <w:marLeft w:val="547"/>
          <w:marRight w:val="0"/>
          <w:marTop w:val="120"/>
          <w:marBottom w:val="0"/>
          <w:divBdr>
            <w:top w:val="none" w:sz="0" w:space="0" w:color="auto"/>
            <w:left w:val="none" w:sz="0" w:space="0" w:color="auto"/>
            <w:bottom w:val="none" w:sz="0" w:space="0" w:color="auto"/>
            <w:right w:val="none" w:sz="0" w:space="0" w:color="auto"/>
          </w:divBdr>
        </w:div>
      </w:divsChild>
    </w:div>
    <w:div w:id="671445901">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44450398">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856699397">
      <w:bodyDiv w:val="1"/>
      <w:marLeft w:val="0"/>
      <w:marRight w:val="0"/>
      <w:marTop w:val="0"/>
      <w:marBottom w:val="0"/>
      <w:divBdr>
        <w:top w:val="none" w:sz="0" w:space="0" w:color="auto"/>
        <w:left w:val="none" w:sz="0" w:space="0" w:color="auto"/>
        <w:bottom w:val="none" w:sz="0" w:space="0" w:color="auto"/>
        <w:right w:val="none" w:sz="0" w:space="0" w:color="auto"/>
      </w:divBdr>
    </w:div>
    <w:div w:id="1129323564">
      <w:bodyDiv w:val="1"/>
      <w:marLeft w:val="0"/>
      <w:marRight w:val="0"/>
      <w:marTop w:val="0"/>
      <w:marBottom w:val="0"/>
      <w:divBdr>
        <w:top w:val="none" w:sz="0" w:space="0" w:color="auto"/>
        <w:left w:val="none" w:sz="0" w:space="0" w:color="auto"/>
        <w:bottom w:val="none" w:sz="0" w:space="0" w:color="auto"/>
        <w:right w:val="none" w:sz="0" w:space="0" w:color="auto"/>
      </w:divBdr>
      <w:divsChild>
        <w:div w:id="636492950">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49356697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1514785">
      <w:bodyDiv w:val="1"/>
      <w:marLeft w:val="0"/>
      <w:marRight w:val="0"/>
      <w:marTop w:val="0"/>
      <w:marBottom w:val="0"/>
      <w:divBdr>
        <w:top w:val="none" w:sz="0" w:space="0" w:color="auto"/>
        <w:left w:val="none" w:sz="0" w:space="0" w:color="auto"/>
        <w:bottom w:val="none" w:sz="0" w:space="0" w:color="auto"/>
        <w:right w:val="none" w:sz="0" w:space="0" w:color="auto"/>
      </w:divBdr>
      <w:divsChild>
        <w:div w:id="964430869">
          <w:marLeft w:val="547"/>
          <w:marRight w:val="0"/>
          <w:marTop w:val="144"/>
          <w:marBottom w:val="0"/>
          <w:divBdr>
            <w:top w:val="none" w:sz="0" w:space="0" w:color="auto"/>
            <w:left w:val="none" w:sz="0" w:space="0" w:color="auto"/>
            <w:bottom w:val="none" w:sz="0" w:space="0" w:color="auto"/>
            <w:right w:val="none" w:sz="0" w:space="0" w:color="auto"/>
          </w:divBdr>
        </w:div>
        <w:div w:id="2017612388">
          <w:marLeft w:val="547"/>
          <w:marRight w:val="0"/>
          <w:marTop w:val="144"/>
          <w:marBottom w:val="0"/>
          <w:divBdr>
            <w:top w:val="none" w:sz="0" w:space="0" w:color="auto"/>
            <w:left w:val="none" w:sz="0" w:space="0" w:color="auto"/>
            <w:bottom w:val="none" w:sz="0" w:space="0" w:color="auto"/>
            <w:right w:val="none" w:sz="0" w:space="0" w:color="auto"/>
          </w:divBdr>
        </w:div>
        <w:div w:id="1468089796">
          <w:marLeft w:val="547"/>
          <w:marRight w:val="0"/>
          <w:marTop w:val="144"/>
          <w:marBottom w:val="0"/>
          <w:divBdr>
            <w:top w:val="none" w:sz="0" w:space="0" w:color="auto"/>
            <w:left w:val="none" w:sz="0" w:space="0" w:color="auto"/>
            <w:bottom w:val="none" w:sz="0" w:space="0" w:color="auto"/>
            <w:right w:val="none" w:sz="0" w:space="0" w:color="auto"/>
          </w:divBdr>
        </w:div>
      </w:divsChild>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E6822-F349-40A7-8504-3B37F0A9A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0</TotalTime>
  <Pages>2</Pages>
  <Words>534</Words>
  <Characters>2831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2</cp:revision>
  <cp:lastPrinted>2008-01-31T07:09:00Z</cp:lastPrinted>
  <dcterms:created xsi:type="dcterms:W3CDTF">2017-09-11T19:54:00Z</dcterms:created>
  <dcterms:modified xsi:type="dcterms:W3CDTF">2017-09-11T19:54:00Z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